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C37F3" w14:textId="77777777" w:rsidR="00371976" w:rsidRDefault="00371976" w:rsidP="00371976">
      <w:pPr>
        <w:keepNext/>
        <w:spacing w:before="120" w:after="120" w:line="240" w:lineRule="auto"/>
        <w:jc w:val="center"/>
        <w:outlineLvl w:val="0"/>
        <w:rPr>
          <w:rFonts w:ascii="Times New Roman" w:eastAsia="SimSun" w:hAnsi="Times New Roman" w:cs="Times New Roman"/>
          <w:b/>
          <w:bCs/>
          <w:kern w:val="0"/>
          <w:sz w:val="28"/>
          <w:szCs w:val="28"/>
          <w14:ligatures w14:val="none"/>
        </w:rPr>
      </w:pPr>
    </w:p>
    <w:tbl>
      <w:tblPr>
        <w:tblpPr w:leftFromText="180" w:rightFromText="180" w:vertAnchor="text" w:horzAnchor="margin" w:tblpXSpec="center" w:tblpY="-112"/>
        <w:tblW w:w="10440" w:type="dxa"/>
        <w:tblLook w:val="01E0" w:firstRow="1" w:lastRow="1" w:firstColumn="1" w:lastColumn="1" w:noHBand="0" w:noVBand="0"/>
      </w:tblPr>
      <w:tblGrid>
        <w:gridCol w:w="4770"/>
        <w:gridCol w:w="5670"/>
      </w:tblGrid>
      <w:tr w:rsidR="00371976" w:rsidRPr="00371976" w14:paraId="00E1DF4B" w14:textId="77777777" w:rsidTr="008F0C4F">
        <w:trPr>
          <w:trHeight w:val="983"/>
        </w:trPr>
        <w:tc>
          <w:tcPr>
            <w:tcW w:w="4770" w:type="dxa"/>
            <w:shd w:val="clear" w:color="auto" w:fill="auto"/>
          </w:tcPr>
          <w:p w14:paraId="6365FF4E" w14:textId="77777777" w:rsidR="00371976" w:rsidRPr="00371976" w:rsidRDefault="00371976" w:rsidP="00371976">
            <w:pPr>
              <w:spacing w:after="0" w:line="240" w:lineRule="auto"/>
              <w:jc w:val="center"/>
              <w:rPr>
                <w:rFonts w:ascii="Times New Roman" w:eastAsia="Times New Roman" w:hAnsi="Times New Roman" w:cs="Times New Roman"/>
                <w:color w:val="0D0D0D"/>
                <w:kern w:val="0"/>
                <w:sz w:val="26"/>
                <w:szCs w:val="26"/>
                <w14:ligatures w14:val="none"/>
              </w:rPr>
            </w:pPr>
            <w:r w:rsidRPr="00371976">
              <w:rPr>
                <w:rFonts w:ascii="Times New Roman" w:eastAsia="Times New Roman" w:hAnsi="Times New Roman" w:cs="Times New Roman"/>
                <w:color w:val="0D0D0D"/>
                <w:kern w:val="0"/>
                <w:sz w:val="26"/>
                <w:szCs w:val="26"/>
                <w14:ligatures w14:val="none"/>
              </w:rPr>
              <w:t>ỦY BAN NHÂN DÂN</w:t>
            </w:r>
          </w:p>
          <w:p w14:paraId="5B002D79" w14:textId="77777777" w:rsidR="00371976" w:rsidRPr="00371976" w:rsidRDefault="00371976" w:rsidP="00371976">
            <w:pPr>
              <w:spacing w:after="0" w:line="240" w:lineRule="auto"/>
              <w:jc w:val="center"/>
              <w:rPr>
                <w:rFonts w:ascii="Times New Roman" w:eastAsia="Times New Roman" w:hAnsi="Times New Roman" w:cs="Times New Roman"/>
                <w:color w:val="0D0D0D"/>
                <w:kern w:val="0"/>
                <w:sz w:val="26"/>
                <w:szCs w:val="26"/>
                <w14:ligatures w14:val="none"/>
              </w:rPr>
            </w:pPr>
            <w:r w:rsidRPr="00371976">
              <w:rPr>
                <w:rFonts w:ascii="Times New Roman" w:eastAsia="Times New Roman" w:hAnsi="Times New Roman" w:cs="Times New Roman"/>
                <w:color w:val="0D0D0D"/>
                <w:kern w:val="0"/>
                <w:sz w:val="26"/>
                <w:szCs w:val="26"/>
                <w14:ligatures w14:val="none"/>
              </w:rPr>
              <w:t>THÀNH PHỐ HỒ CHÍ MINH</w:t>
            </w:r>
          </w:p>
          <w:p w14:paraId="30DD6881" w14:textId="77777777" w:rsidR="00371976" w:rsidRPr="00371976" w:rsidRDefault="00371976" w:rsidP="00371976">
            <w:pPr>
              <w:spacing w:after="0" w:line="240" w:lineRule="auto"/>
              <w:jc w:val="center"/>
              <w:rPr>
                <w:rFonts w:ascii="Times New Roman" w:eastAsia="Times New Roman" w:hAnsi="Times New Roman" w:cs="Times New Roman"/>
                <w:b/>
                <w:color w:val="0D0D0D"/>
                <w:kern w:val="0"/>
                <w:sz w:val="26"/>
                <w:szCs w:val="26"/>
                <w14:ligatures w14:val="none"/>
              </w:rPr>
            </w:pPr>
            <w:r w:rsidRPr="00371976">
              <w:rPr>
                <w:rFonts w:ascii="Times New Roman" w:eastAsia="Times New Roman" w:hAnsi="Times New Roman" w:cs="Times New Roman"/>
                <w:b/>
                <w:color w:val="0D0D0D"/>
                <w:kern w:val="0"/>
                <w:sz w:val="26"/>
                <w:szCs w:val="26"/>
                <w14:ligatures w14:val="none"/>
              </w:rPr>
              <w:t>SỞ TÀI NGUYÊN VÀ MÔI TRƯỜNG</w:t>
            </w:r>
          </w:p>
          <w:p w14:paraId="38FEE5C5" w14:textId="77777777" w:rsidR="00371976" w:rsidRPr="00371976" w:rsidRDefault="00371976" w:rsidP="00371976">
            <w:pPr>
              <w:spacing w:after="0" w:line="240" w:lineRule="auto"/>
              <w:ind w:firstLine="540"/>
              <w:jc w:val="center"/>
              <w:rPr>
                <w:rFonts w:ascii="Times New Roman" w:eastAsia="Times New Roman" w:hAnsi="Times New Roman" w:cs="Times New Roman"/>
                <w:b/>
                <w:color w:val="0D0D0D"/>
                <w:kern w:val="0"/>
                <w:sz w:val="26"/>
                <w:szCs w:val="26"/>
                <w14:ligatures w14:val="none"/>
              </w:rPr>
            </w:pPr>
            <w:r w:rsidRPr="00371976">
              <w:rPr>
                <w:rFonts w:ascii="Times New Roman" w:eastAsia="Times New Roman" w:hAnsi="Times New Roman" w:cs="Times New Roman"/>
                <w:b/>
                <w:noProof/>
                <w:color w:val="0D0D0D"/>
                <w:kern w:val="0"/>
                <w:sz w:val="26"/>
                <w:szCs w:val="26"/>
                <w14:ligatures w14:val="none"/>
              </w:rPr>
              <mc:AlternateContent>
                <mc:Choice Requires="wps">
                  <w:drawing>
                    <wp:anchor distT="0" distB="0" distL="114300" distR="114300" simplePos="0" relativeHeight="251660288" behindDoc="0" locked="0" layoutInCell="1" allowOverlap="1" wp14:anchorId="74400241" wp14:editId="56A378CA">
                      <wp:simplePos x="0" y="0"/>
                      <wp:positionH relativeFrom="column">
                        <wp:posOffset>419735</wp:posOffset>
                      </wp:positionH>
                      <wp:positionV relativeFrom="paragraph">
                        <wp:posOffset>24130</wp:posOffset>
                      </wp:positionV>
                      <wp:extent cx="2162175" cy="0"/>
                      <wp:effectExtent l="10160" t="5080" r="8890" b="1397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C884B4"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5pt,1.9pt" to="203.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"/>
                  </w:pict>
                </mc:Fallback>
              </mc:AlternateContent>
            </w:r>
            <w:r w:rsidRPr="00371976">
              <w:rPr>
                <w:rFonts w:ascii="Times New Roman" w:eastAsia="Times New Roman" w:hAnsi="Times New Roman" w:cs="Times New Roman"/>
                <w:b/>
                <w:color w:val="0D0D0D"/>
                <w:kern w:val="0"/>
                <w:sz w:val="26"/>
                <w:szCs w:val="26"/>
                <w14:ligatures w14:val="none"/>
              </w:rPr>
              <w:t xml:space="preserve"> </w:t>
            </w:r>
          </w:p>
        </w:tc>
        <w:tc>
          <w:tcPr>
            <w:tcW w:w="5670" w:type="dxa"/>
            <w:shd w:val="clear" w:color="auto" w:fill="auto"/>
          </w:tcPr>
          <w:p w14:paraId="25C1864B" w14:textId="77777777" w:rsidR="00371976" w:rsidRPr="00371976" w:rsidRDefault="00371976" w:rsidP="00371976">
            <w:pPr>
              <w:spacing w:after="0" w:line="240" w:lineRule="auto"/>
              <w:jc w:val="center"/>
              <w:rPr>
                <w:rFonts w:ascii="Times New Roman" w:eastAsia="Times New Roman" w:hAnsi="Times New Roman" w:cs="Times New Roman"/>
                <w:b/>
                <w:color w:val="0D0D0D"/>
                <w:kern w:val="0"/>
                <w:sz w:val="26"/>
                <w:szCs w:val="26"/>
                <w14:ligatures w14:val="none"/>
              </w:rPr>
            </w:pPr>
            <w:r w:rsidRPr="00371976">
              <w:rPr>
                <w:rFonts w:ascii="Times New Roman" w:eastAsia="Times New Roman" w:hAnsi="Times New Roman" w:cs="Times New Roman"/>
                <w:b/>
                <w:color w:val="0D0D0D"/>
                <w:kern w:val="0"/>
                <w:sz w:val="26"/>
                <w:szCs w:val="26"/>
                <w14:ligatures w14:val="none"/>
              </w:rPr>
              <w:t>CỘNG HÒA XÃ HỘI CHỦ NGHĨA VIỆT NAM</w:t>
            </w:r>
          </w:p>
          <w:p w14:paraId="0C49A8EA" w14:textId="77777777" w:rsidR="00371976" w:rsidRPr="00371976" w:rsidRDefault="00371976" w:rsidP="00371976">
            <w:pPr>
              <w:spacing w:after="0" w:line="240" w:lineRule="auto"/>
              <w:jc w:val="center"/>
              <w:rPr>
                <w:rFonts w:ascii="Times New Roman" w:eastAsia="Times New Roman" w:hAnsi="Times New Roman" w:cs="Times New Roman"/>
                <w:b/>
                <w:color w:val="0D0D0D"/>
                <w:kern w:val="0"/>
                <w:sz w:val="26"/>
                <w:szCs w:val="26"/>
                <w14:ligatures w14:val="none"/>
              </w:rPr>
            </w:pPr>
            <w:r w:rsidRPr="00371976">
              <w:rPr>
                <w:rFonts w:ascii="Times New Roman" w:eastAsia="Times New Roman" w:hAnsi="Times New Roman" w:cs="Times New Roman"/>
                <w:b/>
                <w:noProof/>
                <w:color w:val="0D0D0D"/>
                <w:kern w:val="0"/>
                <w:sz w:val="26"/>
                <w:szCs w:val="26"/>
                <w14:ligatures w14:val="none"/>
              </w:rPr>
              <mc:AlternateContent>
                <mc:Choice Requires="wps">
                  <w:drawing>
                    <wp:anchor distT="0" distB="0" distL="114300" distR="114300" simplePos="0" relativeHeight="251659264" behindDoc="0" locked="0" layoutInCell="1" allowOverlap="1" wp14:anchorId="585DC874" wp14:editId="20DFF9A3">
                      <wp:simplePos x="0" y="0"/>
                      <wp:positionH relativeFrom="column">
                        <wp:posOffset>903605</wp:posOffset>
                      </wp:positionH>
                      <wp:positionV relativeFrom="paragraph">
                        <wp:posOffset>215265</wp:posOffset>
                      </wp:positionV>
                      <wp:extent cx="1699260" cy="0"/>
                      <wp:effectExtent l="8255" t="5715" r="698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9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2DD699"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5pt,16.95pt" to="204.9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"/>
                  </w:pict>
                </mc:Fallback>
              </mc:AlternateContent>
            </w:r>
            <w:r w:rsidRPr="00371976">
              <w:rPr>
                <w:rFonts w:ascii="Times New Roman" w:eastAsia="Times New Roman" w:hAnsi="Times New Roman" w:cs="Times New Roman"/>
                <w:b/>
                <w:color w:val="0D0D0D"/>
                <w:kern w:val="0"/>
                <w:sz w:val="26"/>
                <w:szCs w:val="26"/>
                <w14:ligatures w14:val="none"/>
              </w:rPr>
              <w:t xml:space="preserve">    Độc lập – Tự do – Hạnh phúc</w:t>
            </w:r>
          </w:p>
        </w:tc>
      </w:tr>
    </w:tbl>
    <w:p w14:paraId="3CFB056B" w14:textId="103C2B5F" w:rsidR="00371976" w:rsidRDefault="00371976" w:rsidP="00371976">
      <w:pPr>
        <w:keepNext/>
        <w:spacing w:before="120" w:after="120" w:line="240" w:lineRule="auto"/>
        <w:jc w:val="center"/>
        <w:outlineLvl w:val="0"/>
        <w:rPr>
          <w:rFonts w:ascii="Times New Roman" w:eastAsia="SimSun" w:hAnsi="Times New Roman" w:cs="Times New Roman"/>
          <w:b/>
          <w:bCs/>
          <w:kern w:val="0"/>
          <w:sz w:val="28"/>
          <w:szCs w:val="28"/>
          <w14:ligatures w14:val="none"/>
        </w:rPr>
      </w:pPr>
      <w:r>
        <w:rPr>
          <w:rFonts w:ascii="Times New Roman" w:eastAsia="SimSun" w:hAnsi="Times New Roman" w:cs="Times New Roman"/>
          <w:b/>
          <w:bCs/>
          <w:kern w:val="0"/>
          <w:sz w:val="28"/>
          <w:szCs w:val="28"/>
          <w14:ligatures w14:val="none"/>
        </w:rPr>
        <w:t>PHỤ LỤC 2</w:t>
      </w:r>
    </w:p>
    <w:p w14:paraId="329455F0" w14:textId="6ECA6BE6" w:rsidR="00371976" w:rsidRPr="00371976" w:rsidRDefault="00371976" w:rsidP="00371976">
      <w:pPr>
        <w:keepNext/>
        <w:spacing w:before="120" w:after="120" w:line="240" w:lineRule="auto"/>
        <w:jc w:val="center"/>
        <w:outlineLvl w:val="0"/>
        <w:rPr>
          <w:rFonts w:ascii="Times New Roman" w:eastAsia="SimSun" w:hAnsi="Times New Roman" w:cs="Times New Roman"/>
          <w:b/>
          <w:bCs/>
          <w:kern w:val="0"/>
          <w:sz w:val="28"/>
          <w:szCs w:val="28"/>
          <w14:ligatures w14:val="none"/>
        </w:rPr>
      </w:pPr>
      <w:r w:rsidRPr="00371976">
        <w:rPr>
          <w:rFonts w:ascii="Times New Roman" w:eastAsia="SimSun" w:hAnsi="Times New Roman" w:cs="Times New Roman"/>
          <w:b/>
          <w:bCs/>
          <w:kern w:val="0"/>
          <w:sz w:val="28"/>
          <w:szCs w:val="28"/>
          <w14:ligatures w14:val="none"/>
        </w:rPr>
        <w:t xml:space="preserve">ĐÁNH GIÁ TÁC ĐỘNG </w:t>
      </w:r>
      <w:r>
        <w:rPr>
          <w:rFonts w:ascii="Times New Roman" w:eastAsia="SimSun" w:hAnsi="Times New Roman" w:cs="Times New Roman"/>
          <w:b/>
          <w:bCs/>
          <w:kern w:val="0"/>
          <w:sz w:val="28"/>
          <w:szCs w:val="28"/>
          <w14:ligatures w14:val="none"/>
        </w:rPr>
        <w:t xml:space="preserve">VỀ  MẶT </w:t>
      </w:r>
      <w:r w:rsidRPr="00371976">
        <w:rPr>
          <w:rFonts w:ascii="Times New Roman" w:eastAsia="SimSun" w:hAnsi="Times New Roman" w:cs="Times New Roman"/>
          <w:b/>
          <w:bCs/>
          <w:kern w:val="0"/>
          <w:sz w:val="28"/>
          <w:szCs w:val="28"/>
          <w14:ligatures w14:val="none"/>
        </w:rPr>
        <w:t>KINH TẾ - XÃ HỘI</w:t>
      </w:r>
    </w:p>
    <w:p w14:paraId="049A9358" w14:textId="52D7D238" w:rsidR="00371976" w:rsidRPr="00371976" w:rsidRDefault="00371976" w:rsidP="00371976">
      <w:pPr>
        <w:keepNext/>
        <w:spacing w:before="40" w:after="40" w:line="364" w:lineRule="atLeast"/>
        <w:ind w:left="284" w:right="140"/>
        <w:jc w:val="center"/>
        <w:rPr>
          <w:rFonts w:ascii="Times New Roman" w:eastAsia="Times New Roman" w:hAnsi="Times New Roman" w:cs="Times New Roman"/>
          <w:b/>
          <w:kern w:val="0"/>
          <w:sz w:val="28"/>
          <w:szCs w:val="28"/>
          <w14:ligatures w14:val="none"/>
        </w:rPr>
      </w:pPr>
      <w:r w:rsidRPr="00371976">
        <w:rPr>
          <w:rFonts w:ascii="Times New Roman" w:eastAsia="Times New Roman" w:hAnsi="Times New Roman" w:cs="Times New Roman"/>
          <w:i/>
          <w:kern w:val="0"/>
          <w:sz w:val="28"/>
          <w:szCs w:val="28"/>
          <w14:ligatures w14:val="none"/>
        </w:rPr>
        <w:t>(</w:t>
      </w:r>
      <w:r w:rsidRPr="00371976">
        <w:rPr>
          <w:rFonts w:ascii="Times New Roman" w:eastAsia="Calibri" w:hAnsi="Times New Roman" w:cs="Times New Roman"/>
          <w:i/>
          <w:kern w:val="0"/>
          <w:sz w:val="28"/>
          <w:szCs w:val="28"/>
          <w14:ligatures w14:val="none"/>
        </w:rPr>
        <w:t>Đính kèm Tờ trình</w:t>
      </w:r>
      <w:r>
        <w:rPr>
          <w:rFonts w:ascii="Times New Roman" w:eastAsia="Calibri" w:hAnsi="Times New Roman" w:cs="Times New Roman"/>
          <w:i/>
          <w:kern w:val="0"/>
          <w:sz w:val="28"/>
          <w:szCs w:val="28"/>
          <w14:ligatures w14:val="none"/>
        </w:rPr>
        <w:t xml:space="preserve"> … </w:t>
      </w:r>
      <w:r w:rsidRPr="00371976">
        <w:rPr>
          <w:rFonts w:ascii="Times New Roman" w:eastAsia="Calibri" w:hAnsi="Times New Roman" w:cs="Times New Roman"/>
          <w:i/>
          <w:kern w:val="0"/>
          <w:sz w:val="28"/>
          <w:szCs w:val="28"/>
          <w14:ligatures w14:val="none"/>
        </w:rPr>
        <w:t>/STNMT-KTĐ</w:t>
      </w:r>
      <w:r w:rsidRPr="00371976">
        <w:rPr>
          <w:rFonts w:ascii="Times New Roman" w:eastAsia="Times New Roman" w:hAnsi="Times New Roman" w:cs="Arial"/>
          <w:bCs/>
          <w:i/>
          <w:kern w:val="0"/>
          <w:sz w:val="28"/>
          <w:szCs w:val="28"/>
          <w:lang w:val="en-GB"/>
          <w14:ligatures w14:val="none"/>
        </w:rPr>
        <w:t xml:space="preserve"> ngày </w:t>
      </w:r>
      <w:r>
        <w:rPr>
          <w:rFonts w:ascii="Times New Roman" w:eastAsia="Times New Roman" w:hAnsi="Times New Roman" w:cs="Arial"/>
          <w:bCs/>
          <w:i/>
          <w:kern w:val="0"/>
          <w:sz w:val="28"/>
          <w:szCs w:val="28"/>
          <w:lang w:val="en-GB"/>
          <w14:ligatures w14:val="none"/>
        </w:rPr>
        <w:t>…</w:t>
      </w:r>
      <w:r w:rsidRPr="00371976">
        <w:rPr>
          <w:rFonts w:ascii="Times New Roman" w:eastAsia="Times New Roman" w:hAnsi="Times New Roman" w:cs="Arial"/>
          <w:bCs/>
          <w:i/>
          <w:kern w:val="0"/>
          <w:sz w:val="28"/>
          <w:szCs w:val="28"/>
          <w:lang w:val="en-GB"/>
          <w14:ligatures w14:val="none"/>
        </w:rPr>
        <w:t xml:space="preserve"> tháng 1</w:t>
      </w:r>
      <w:r>
        <w:rPr>
          <w:rFonts w:ascii="Times New Roman" w:eastAsia="Times New Roman" w:hAnsi="Times New Roman" w:cs="Arial"/>
          <w:bCs/>
          <w:i/>
          <w:kern w:val="0"/>
          <w:sz w:val="28"/>
          <w:szCs w:val="28"/>
          <w:lang w:val="en-GB"/>
          <w14:ligatures w14:val="none"/>
        </w:rPr>
        <w:t>1</w:t>
      </w:r>
      <w:r w:rsidRPr="00371976">
        <w:rPr>
          <w:rFonts w:ascii="Times New Roman" w:eastAsia="Times New Roman" w:hAnsi="Times New Roman" w:cs="Arial"/>
          <w:bCs/>
          <w:i/>
          <w:kern w:val="0"/>
          <w:sz w:val="28"/>
          <w:szCs w:val="28"/>
          <w:lang w:val="en-GB"/>
          <w14:ligatures w14:val="none"/>
        </w:rPr>
        <w:t xml:space="preserve"> năm 202</w:t>
      </w:r>
      <w:r>
        <w:rPr>
          <w:rFonts w:ascii="Times New Roman" w:eastAsia="Times New Roman" w:hAnsi="Times New Roman" w:cs="Arial"/>
          <w:bCs/>
          <w:i/>
          <w:kern w:val="0"/>
          <w:sz w:val="28"/>
          <w:szCs w:val="28"/>
          <w:lang w:val="en-GB"/>
          <w14:ligatures w14:val="none"/>
        </w:rPr>
        <w:t>5</w:t>
      </w:r>
      <w:r w:rsidRPr="00371976">
        <w:rPr>
          <w:rFonts w:ascii="Times New Roman" w:eastAsia="Times New Roman" w:hAnsi="Times New Roman" w:cs="Arial"/>
          <w:bCs/>
          <w:i/>
          <w:kern w:val="0"/>
          <w:sz w:val="28"/>
          <w:szCs w:val="28"/>
          <w:lang w:val="en-GB"/>
          <w14:ligatures w14:val="none"/>
        </w:rPr>
        <w:t xml:space="preserve"> của Sở Tài nguyên và Môi trường)</w:t>
      </w:r>
      <w:r w:rsidRPr="00371976">
        <w:rPr>
          <w:rFonts w:ascii="Times New Roman" w:eastAsia="Times New Roman" w:hAnsi="Times New Roman" w:cs="Times New Roman"/>
          <w:b/>
          <w:kern w:val="0"/>
          <w:sz w:val="28"/>
          <w:szCs w:val="28"/>
          <w14:ligatures w14:val="none"/>
        </w:rPr>
        <w:t xml:space="preserve"> </w:t>
      </w:r>
    </w:p>
    <w:p w14:paraId="391357EF" w14:textId="77777777" w:rsidR="00371976" w:rsidRPr="00371976" w:rsidRDefault="00371976" w:rsidP="00371976">
      <w:pPr>
        <w:keepNext/>
        <w:spacing w:before="40" w:after="40" w:line="364" w:lineRule="atLeast"/>
        <w:ind w:left="567" w:right="648"/>
        <w:jc w:val="center"/>
        <w:rPr>
          <w:rFonts w:ascii="Times New Roman" w:eastAsia="Times New Roman" w:hAnsi="Times New Roman" w:cs="Times New Roman"/>
          <w:b/>
          <w:kern w:val="0"/>
          <w:sz w:val="28"/>
          <w:szCs w:val="28"/>
          <w14:ligatures w14:val="none"/>
        </w:rPr>
      </w:pPr>
      <w:r w:rsidRPr="00371976">
        <w:rPr>
          <w:rFonts w:ascii="Times New Roman" w:eastAsia="Times New Roman" w:hAnsi="Times New Roman" w:cs="Times New Roman"/>
          <w:b/>
          <w:noProof/>
          <w:color w:val="0D0D0D"/>
          <w:kern w:val="0"/>
          <w:sz w:val="26"/>
          <w:szCs w:val="26"/>
          <w14:ligatures w14:val="none"/>
        </w:rPr>
        <mc:AlternateContent>
          <mc:Choice Requires="wps">
            <w:drawing>
              <wp:anchor distT="0" distB="0" distL="114300" distR="114300" simplePos="0" relativeHeight="251662336" behindDoc="0" locked="0" layoutInCell="1" allowOverlap="1" wp14:anchorId="362131CF" wp14:editId="32809EB4">
                <wp:simplePos x="0" y="0"/>
                <wp:positionH relativeFrom="margin">
                  <wp:align>center</wp:align>
                </wp:positionH>
                <wp:positionV relativeFrom="paragraph">
                  <wp:posOffset>32240</wp:posOffset>
                </wp:positionV>
                <wp:extent cx="1699260" cy="0"/>
                <wp:effectExtent l="0" t="0" r="3429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9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554CAE" id="Straight Connector 1"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55pt" to="133.8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">
                <w10:wrap anchorx="margin"/>
              </v:line>
            </w:pict>
          </mc:Fallback>
        </mc:AlternateContent>
      </w:r>
    </w:p>
    <w:p w14:paraId="7FB1A848" w14:textId="333BB40A"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Xây dựng bảng giá bảng giá đất lần đầu để công bố và áp dụng từ ngày 01 tháng 01 năm 2026 trên địa bàn Thành phố Hồ Chí Minh đã được tiến hành điều tra, khảo sát và xây dựng một cách nghiêm túc, bài bản, phù hợp với thực tiễn, đảm bảo sự cân đối phù hợp giữa các khu vực, đoạn đường, tuyến đường và bảo đảm đúng các hướng dẫn và quy định hiện hành về xây dựng bảng giá đất. Bảng giá đất lần đầu để công bố và áp dụng từ ngày 01 tháng 01 năm 2026 trên địa bàn Thành phố Hồ Chí Minh tiếp tục kế thừa và pháp huy những thành tựu của bảng giá đất giai đoạn 2020-2024 đã ban hành và sửa đổi tại các Quyết định số 02/2020/QĐ-UBND ngày 16/01/2020 và Quyết định số 79/2024/QĐ-UBND ngày 21/10/2024 của UBND Thành phố Hồ Chí Minh; Quyết định số 36/2019/QĐ-UBND ngày 20/12/2019 và Quyết định số 63/2024/QĐ-UBND ngày 20/12/2024 của UBND tỉnh Bình Dương cũ. Bên cạnh đó, Bảng giá bảng giá đất lần đầu để công bố và áp dụng từ ngày 01 tháng 01 năm 2026 trên địa bàn Thành phố Hồ Chí Minh cũng đã khắc phục được những hạn chế mà bảng giá đất nêu trên còn thiếu sót.</w:t>
      </w:r>
    </w:p>
    <w:p w14:paraId="5D91D907"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Bảng giá bảng giá đất lần đầu để công bố và áp dụng từ ngày 01 tháng 01 năm 2026 trên địa bàn Thành phố được xây dựng trên cơ sở phù hợp với điều kiện phát triển kinh tế xã hội của từng khu vực, địa phương trên địa bàn Thành phố Hồ Chí Minh (bao gồm Thành phố Hồ Chí Minh cũ và tỉnh Bình Dương cũ). Giá đất được xây dựng phù hợp sẽ góp phần tích cực trong công tác quản lý đất đai, thu hút đầu tư, thúc đẩy pháp triển kinh tế và là một trong các công cụ điều tiết kinh tế của Thành phố.</w:t>
      </w:r>
    </w:p>
    <w:p w14:paraId="3F3FB996" w14:textId="77777777" w:rsidR="00371976" w:rsidRPr="00371976" w:rsidRDefault="00371976" w:rsidP="00371976">
      <w:pPr>
        <w:spacing w:before="120" w:after="120" w:line="240" w:lineRule="auto"/>
        <w:ind w:firstLine="567"/>
        <w:jc w:val="both"/>
        <w:rPr>
          <w:rFonts w:ascii="Times New Roman" w:eastAsia="Courier New" w:hAnsi="Times New Roman" w:cs="Times New Roman"/>
          <w:b/>
          <w:bCs/>
          <w:kern w:val="0"/>
          <w:sz w:val="28"/>
          <w:szCs w:val="28"/>
          <w:lang w:val="sv-SE" w:eastAsia="vi-VN"/>
          <w14:ligatures w14:val="none"/>
        </w:rPr>
      </w:pPr>
      <w:r w:rsidRPr="00371976">
        <w:rPr>
          <w:rFonts w:ascii="Times New Roman" w:eastAsia="Courier New" w:hAnsi="Times New Roman" w:cs="Times New Roman"/>
          <w:b/>
          <w:bCs/>
          <w:kern w:val="0"/>
          <w:sz w:val="28"/>
          <w:szCs w:val="28"/>
          <w:lang w:val="sv-SE" w:eastAsia="vi-VN"/>
          <w14:ligatures w14:val="none"/>
        </w:rPr>
        <w:t>1. Nội dung tác động của các nhóm đối tượng bị ảnh hưởng theo quy định của pháp luật đất đai 2024</w:t>
      </w:r>
    </w:p>
    <w:p w14:paraId="0ABF7361" w14:textId="77777777" w:rsidR="00371976" w:rsidRPr="00371976" w:rsidRDefault="00371976" w:rsidP="00371976">
      <w:pPr>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b/>
          <w:bCs/>
          <w:kern w:val="0"/>
          <w:sz w:val="28"/>
          <w:szCs w:val="28"/>
          <w:lang w:val="sv-SE" w:eastAsia="vi-VN"/>
          <w14:ligatures w14:val="none"/>
        </w:rPr>
        <w:t>Theo quy định tại khoản 3 Điều 111 và khoản 1 Điều 159 Luật Đất đai 2024, Bảng giá đất sẽ tác động đến các đối tượng gồm</w:t>
      </w:r>
      <w:r w:rsidRPr="00371976">
        <w:rPr>
          <w:rFonts w:ascii="Times New Roman" w:eastAsia="Courier New" w:hAnsi="Times New Roman" w:cs="Times New Roman"/>
          <w:kern w:val="0"/>
          <w:sz w:val="28"/>
          <w:szCs w:val="28"/>
          <w:lang w:val="sv-SE" w:eastAsia="vi-VN"/>
          <w14:ligatures w14:val="none"/>
        </w:rPr>
        <w:t>:</w:t>
      </w:r>
    </w:p>
    <w:p w14:paraId="6DBA1971"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b/>
          <w:bCs/>
          <w:kern w:val="0"/>
          <w:sz w:val="28"/>
          <w:szCs w:val="28"/>
          <w:lang w:val="sv-SE" w:eastAsia="vi-VN"/>
          <w14:ligatures w14:val="none"/>
        </w:rPr>
        <w:t>1.1</w:t>
      </w:r>
      <w:r w:rsidRPr="00371976">
        <w:rPr>
          <w:rFonts w:ascii="Times New Roman" w:eastAsia="Courier New" w:hAnsi="Times New Roman" w:cs="Times New Roman"/>
          <w:kern w:val="0"/>
          <w:sz w:val="28"/>
          <w:szCs w:val="28"/>
          <w:lang w:val="sv-SE" w:eastAsia="vi-VN"/>
          <w14:ligatures w14:val="none"/>
        </w:rPr>
        <w:t xml:space="preserve">. </w:t>
      </w:r>
      <w:r w:rsidRPr="00371976">
        <w:rPr>
          <w:rFonts w:ascii="Times New Roman" w:eastAsia="Courier New" w:hAnsi="Times New Roman" w:cs="Times New Roman"/>
          <w:b/>
          <w:bCs/>
          <w:kern w:val="0"/>
          <w:sz w:val="28"/>
          <w:szCs w:val="28"/>
          <w:lang w:val="sv-SE" w:eastAsia="vi-VN"/>
          <w14:ligatures w14:val="none"/>
        </w:rPr>
        <w:t>Người được bố trí tái định cư</w:t>
      </w:r>
      <w:r w:rsidRPr="00371976">
        <w:rPr>
          <w:rFonts w:ascii="Times New Roman" w:eastAsia="Courier New" w:hAnsi="Times New Roman" w:cs="Times New Roman"/>
          <w:kern w:val="0"/>
          <w:sz w:val="28"/>
          <w:szCs w:val="28"/>
          <w:lang w:val="sv-SE" w:eastAsia="vi-VN"/>
          <w14:ligatures w14:val="none"/>
        </w:rPr>
        <w:t xml:space="preserve"> sẽ xác định được ngay giá đất nền tái định cư theo Bảng giá đất điều chỉnh, Theo Luật Đất đai năm 2013 thì trường hợp này xác định giá đất cụ thể. Việc này tạo ra sự công khai, minh bạch và công bằng đối với việc thu hồi đất và bố trí tái định cư (việc xác định giá tái định cư theo thủ tục trước đây rất phức tạp và tốn nhiều thời gian).</w:t>
      </w:r>
    </w:p>
    <w:p w14:paraId="176EEFA7"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b/>
          <w:bCs/>
          <w:kern w:val="0"/>
          <w:sz w:val="28"/>
          <w:szCs w:val="28"/>
          <w:lang w:val="sv-SE" w:eastAsia="vi-VN"/>
          <w14:ligatures w14:val="none"/>
        </w:rPr>
        <w:lastRenderedPageBreak/>
        <w:t>1.2. Hộ gia đình, cá nhân khi được Nhà nước công nhận quyền sử dụng đất và được Nhà nước cho phép chuyển mục đích sử dụng đất</w:t>
      </w:r>
      <w:r w:rsidRPr="00371976">
        <w:rPr>
          <w:rFonts w:ascii="Times New Roman" w:eastAsia="Courier New" w:hAnsi="Times New Roman" w:cs="Times New Roman"/>
          <w:kern w:val="0"/>
          <w:sz w:val="28"/>
          <w:szCs w:val="28"/>
          <w:lang w:val="sv-SE" w:eastAsia="vi-VN"/>
          <w14:ligatures w14:val="none"/>
        </w:rPr>
        <w:t xml:space="preserve">. </w:t>
      </w:r>
    </w:p>
    <w:p w14:paraId="15EC86DA"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 Về công nhận quyền sử dụng đất:</w:t>
      </w:r>
    </w:p>
    <w:p w14:paraId="2DFE20FA"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Bảng giá đất mới có ảnh hưởng đến việc công nhận của hộ gia đình, cá nhân. Mức thu và tỷ lệ thu tiền sử dụng đất sẽ căn cứ vào thời điểm sử dụng đất theo quy định tại Luật Đất đai 2024, Nghị định số 103/2024/NĐ-CP và Nghị định 291/2025/NĐ-CP của Chính phủ về sửa đổi, bổ sung một số điều của Nghị định số 103/2024/NĐ-CP ngày 30 tháng 7 năm 2024 của Chính phủ quy định về tiền sử dụng đất, tiền thuê đất và Nghị định số 104/2024/NĐ-CP ngày 31 tháng 7 năm 2024 của Chính phủ quy định về quỹ phát triển đất. Cụ thể:</w:t>
      </w:r>
    </w:p>
    <w:p w14:paraId="0943F11D"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+ 06 trường hợp không phải đóng tiền sử dụng khi được công nhận và cấp Giấy chứng nhận được quy định tại Điều 137 và Điều 138 Luật Đất đai 2024 gồm:</w:t>
      </w:r>
    </w:p>
    <w:p w14:paraId="0E85944B"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(1) Hộ gia đình, cá nhân đang sử dụng đất ổn định mà có một trong các loại giấy tờ được lập trước ngày 15 tháng 10 năm 1993 theo quy định tại khoản 1 Điều 137;</w:t>
      </w:r>
    </w:p>
    <w:p w14:paraId="3596C1E9"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(2) Hộ gia đình, cá nhân đang sử dụng đất có giấy tờ của nông, lâm trường quốc doanh về việc giao đất để làm nhà ở hoặc làm nhà ở kết hợp với sản xuất nông, lâm nghiệp trước ngày 01 tháng 7 năm 2004 theo quy định tại khoản 2 Điều 137;</w:t>
      </w:r>
    </w:p>
    <w:p w14:paraId="7399D81D"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(3) Hộ gia đình, cá nhân đang sử dụng đất ổn định mà có một trong các loại giấy tờ theo quy định tại khoản 3 Điều 137;</w:t>
      </w:r>
    </w:p>
    <w:p w14:paraId="7004D3E2"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(4) Hộ gia đình, cá nhân sử dụng đất trước ngày 18 tháng 12 năm 1980, nay được Ủy ban nhân dân cấp xã nơi có đất xác nhận không có tranh chấp và diện tích thửa đất có nhà ở, nhà ở và công trình phục vụ đời sống có diện tích bằng hoặc nhỏ hơn hạn mức công nhận đất ở theo quy định tại khoản 1 Điều 138. Phần diện tích vượt hạn mức phải đóng thêm 20% tiền sử dụng đất theo Bảng giá đất;</w:t>
      </w:r>
    </w:p>
    <w:p w14:paraId="04416EFB"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(5) Hộ gia đình, cá nhân sử dụng đất từ ngày 18 tháng 12 năm 1980 đến trước ngày 15 tháng 10 năm 1993, nay được Ủy ban nhân dân cấp xã nơi có đất xác nhận không có tranh chấp và diện tích thửa đất có nhà ở, nhà ở và công trình phục vụ đời sống có diện tích bằng hoặc nhỏ hơn hạn mức công nhận đất ở theo quy định tại khoản 2 Điều 138. Phần diện tích vượt hạn mức phải đóng thêm 40% tiền sử dụng đất theo Bảng giá đất;</w:t>
      </w:r>
    </w:p>
    <w:p w14:paraId="5D4B399F"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 xml:space="preserve">(6) Hộ gia đình, cá nhân thuộc đối tượng được giao đất nông nghiệp theo quy định tại khoản 1 Điều 118 của Luật Đất đai 2024 đã sử dụng đất ở, đất phi nông nghiệp trước ngày 01 tháng 7 năm 2014 mà không có các giấy tờ quy định tại Điều 137 của Luật Đất đai 2024, có đăng ký thường trú tại địa phương thuộc vùng có điều kiện kinh tế - xã hội khó khăn, vùng có điều kiện kinh tế - xã hội đặc biệt khó khăn, nay được Ủy ban nhân dân cấp xã </w:t>
      </w:r>
      <w:r w:rsidRPr="00371976">
        <w:rPr>
          <w:rFonts w:ascii="Times New Roman" w:eastAsia="Courier New" w:hAnsi="Times New Roman" w:cs="Times New Roman"/>
          <w:kern w:val="0"/>
          <w:sz w:val="28"/>
          <w:szCs w:val="28"/>
          <w:lang w:val="sv-SE" w:eastAsia="vi-VN"/>
          <w14:ligatures w14:val="none"/>
        </w:rPr>
        <w:lastRenderedPageBreak/>
        <w:t>nơi có đất xác nhận không có tranh chấp và diện tích thửa đất có nhà ở, nhà ở và công trình phục vụ đời sống có diện tích bằng hoặc nhỏ hơn hạn mức công nhận đất ở theo quy định tại khoản 5 Điều 138;</w:t>
      </w:r>
    </w:p>
    <w:p w14:paraId="29EE6992"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+ 04 trường hợp phải đóng tiền sử dụng đất theo tỷ lệ khi được Nhà nước công nhận, cấp Giấy chứng nhận quyền sử dụng đất gồm:</w:t>
      </w:r>
    </w:p>
    <w:p w14:paraId="3A54D397"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(1) Hộ gia đình, cá nhân sử dụng đất từ ngày 15 tháng 10 năm 1993 đến trước ngày 01 tháng 7 năm 2014, nay được Ủy ban nhân dân cấp xã nơi có đất xác nhận không có tranh chấp thì tiền sử dụng đất được tính theo 02 mức như sau:</w:t>
      </w:r>
    </w:p>
    <w:p w14:paraId="6346219E"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(i) Đối với phần diện tích được công nhận trong hạn mức giao đất ở, mức nộp là 20% tiền sử dụng đất theo Bảng giá đất.</w:t>
      </w:r>
    </w:p>
    <w:p w14:paraId="14849B78"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(ii) Đối với phần diện tích được công nhận vượt hạn mức giao đất ở, mức nộp là 50% tiền sử dụng đất theo Bảng giá đất.</w:t>
      </w:r>
    </w:p>
    <w:p w14:paraId="3E4D01BE"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(2) Hộ gia đình, cá nhân sử dụng đất từ 01 tháng 7 năm 2004 đến trước ngày 01 tháng 7 năm 2014 nay được cấp Giấy chứng nhận vào mục đích đất ở thì tiền sử dụng đất được tính theo 02 mức như sau:</w:t>
      </w:r>
    </w:p>
    <w:p w14:paraId="2B48A3E0"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(i) Đối với phần diện tích được công nhận vào mục đích đất ở trong hạn mức giao đất ở, mức nộp là 40% tiền sử dụng đất theo Bảng giá đất.</w:t>
      </w:r>
    </w:p>
    <w:p w14:paraId="1CC397A7"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(ii) Đối với phần diện tích được công nhận vào mục đích đất ở vượt hạn mức giao đất ở, mức nộp là 70% tiền sử dụng đất theo Bảng giá đất.</w:t>
      </w:r>
    </w:p>
    <w:p w14:paraId="169D9BE4"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(3) Các trường hợp hộ gia đình, cá nhân sử dụng đất trước ngày 01 tháng 7 năm 2014 có vi phạm về pháp luật đất đai khi được Nhà nước công nhận, cấp Giấy chứng nhận quyền sử dụng đất phải đóng tiền sử dụng đất như sau:</w:t>
      </w:r>
    </w:p>
    <w:p w14:paraId="3772327A"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(i) Hộ gia đình, cá nhân sử dụng đất trước ngày 18 tháng 12 năm 1980 được cấp Giấy chứng nhận với diện tích trong hạn mức giao đất ở thì mức thu bằng 10% tiền sử dụng đất theo Bảng giá đất.</w:t>
      </w:r>
    </w:p>
    <w:p w14:paraId="33073216"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(ii) Hộ gia đình, cá nhân sử dụng đất trước ngày 18 tháng 12 năm 1980 được cấp Giấy chứng nhận với diện tích ngoài hạn mức giao đất ở thì mức thu bằng 30% tiền sử dụng đất theo Bảng giá đất.</w:t>
      </w:r>
    </w:p>
    <w:p w14:paraId="36193F93"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(iii) Hộ gia đình, cá nhân sử dụng đất từ ngày 18 tháng 12 năm 1980 đến trước ngày 15 tháng 10 năm 1993 được cấp Giấy chứng nhận với diện tích trong hạn mức giao đất ở thì mức thu bằng 20% tiền sử dụng đất theo Bảng giá đất.</w:t>
      </w:r>
    </w:p>
    <w:p w14:paraId="01A8AC1E"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(iv) Hộ gia đình, cá nhân sử dụng đất từ ngày 18 tháng 12 năm 1980 đến trước ngày 15 tháng 10 năm 1993 được cấp Giấy chứng nhận với diện tích ngoài hạn mức giao đất ở thì mức thu bằng 50% tiền sử dụng đất theo Bảng giá đất.</w:t>
      </w:r>
    </w:p>
    <w:p w14:paraId="3EDFB9D7"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 xml:space="preserve">(v) Hộ gia đình, cá nhân sử dụng đất từ ngày 15 tháng 10 năm 1993 đến trước ngày 01 tháng 7 năm 2004 được cấp Giấy chứng nhận với diện tích trong hạn mức giao đất ở thì mức thu bằng 30% tiền sử dụng đất theo Bảng </w:t>
      </w:r>
      <w:r w:rsidRPr="00371976">
        <w:rPr>
          <w:rFonts w:ascii="Times New Roman" w:eastAsia="Courier New" w:hAnsi="Times New Roman" w:cs="Times New Roman"/>
          <w:kern w:val="0"/>
          <w:sz w:val="28"/>
          <w:szCs w:val="28"/>
          <w:lang w:val="sv-SE" w:eastAsia="vi-VN"/>
          <w14:ligatures w14:val="none"/>
        </w:rPr>
        <w:lastRenderedPageBreak/>
        <w:t>giá đất.</w:t>
      </w:r>
    </w:p>
    <w:p w14:paraId="27E936C3"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(vi) Hộ gia đình, cá nhân sử dụng đất từ ngày 15 tháng 10 năm 1993 đến trước ngày 01 tháng 7 năm 2004 được cấp Giấy chứng nhận với diện tích ngoài hạn mức giao đất ở thì mức thu bằng 60% tiền sử dụng đất theo Bảng giá đất.</w:t>
      </w:r>
    </w:p>
    <w:p w14:paraId="38E6AAFC"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(4) Các trường hợp hộ gia đình, cá nhân sử dụng đất từ ngày 01 tháng 7 năm 2004 đến trước ngày 01 tháng 7 năm 2014 có vi phạm về pháp luật đất đai khi được Nhà nước công nhận, cấp Giấy chứng nhận quyền sử dụng đất phải đóng tiền sử dụng đất thì mức thu bằng 80% tiền sử dụng đất theo Bảng giá đất.</w:t>
      </w:r>
    </w:p>
    <w:p w14:paraId="043A5EB7"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 xml:space="preserve">- Về chuyển mục đích sử dụng đất: </w:t>
      </w:r>
    </w:p>
    <w:p w14:paraId="5C35DFFA" w14:textId="219257BA" w:rsidR="004657B7" w:rsidRDefault="00371976" w:rsidP="000C6F35">
      <w:pPr>
        <w:widowControl w:val="0"/>
        <w:spacing w:before="120" w:after="120" w:line="240" w:lineRule="auto"/>
        <w:ind w:firstLine="567"/>
        <w:jc w:val="both"/>
        <w:rPr>
          <w:rFonts w:ascii="Times New Roman" w:eastAsia="Times New Roman" w:hAnsi="Times New Roman" w:cs="Times New Roman"/>
          <w:kern w:val="0"/>
          <w:sz w:val="28"/>
          <w:szCs w:val="28"/>
          <w:lang w:val="sv-SE"/>
          <w14:ligatures w14:val="none"/>
        </w:rPr>
      </w:pPr>
      <w:r w:rsidRPr="00371976">
        <w:rPr>
          <w:rFonts w:ascii="Times New Roman" w:eastAsia="Times New Roman" w:hAnsi="Times New Roman" w:cs="Times New Roman"/>
          <w:kern w:val="0"/>
          <w:sz w:val="28"/>
          <w:szCs w:val="28"/>
          <w:lang w:val="sv-SE"/>
          <w14:ligatures w14:val="none"/>
        </w:rPr>
        <w:t>Bảng giá đất tại Quyết định 79/2024/QĐ-UBND về sửa đổi, bổ sung Bảng giá đất tại Quyết định số 02/2019/QĐ-UBND đã phản ánh giá đất theo thực tiễn tại địa phương Thành phố Hồ Chí Minh cũ</w:t>
      </w:r>
      <w:r w:rsidRPr="00371976">
        <w:rPr>
          <w:rFonts w:ascii="Times New Roman" w:eastAsia="Courier New" w:hAnsi="Times New Roman" w:cs="Times New Roman"/>
          <w:kern w:val="0"/>
          <w:sz w:val="28"/>
          <w:szCs w:val="28"/>
          <w:lang w:val="sv-SE" w:eastAsia="vi-VN"/>
          <w14:ligatures w14:val="none"/>
        </w:rPr>
        <w:t xml:space="preserve">, </w:t>
      </w:r>
      <w:r w:rsidRPr="00371976">
        <w:rPr>
          <w:rFonts w:ascii="Times New Roman" w:eastAsia="Times New Roman" w:hAnsi="Times New Roman" w:cs="Times New Roman"/>
          <w:kern w:val="0"/>
          <w:sz w:val="28"/>
          <w:szCs w:val="28"/>
          <w:lang w:val="sv-SE"/>
          <w14:ligatures w14:val="none"/>
        </w:rPr>
        <w:t xml:space="preserve"> trước đây với mức giá công bố đã giảm từ 20% đến 25% tùy khu vực so với mức giá thực tế tại thời điểm công bố, nhằm hỗ trợ mục tiêu tăng trưởng kinh tế, giảm mức độ ảnh hưởng đối với các đối tượng sử dụng đất, theo hướng giá đất tại Bảng giá đất từng bước tiệm cận thị trường.</w:t>
      </w:r>
      <w:r w:rsidRPr="00371976">
        <w:rPr>
          <w:rFonts w:ascii="Times New Roman" w:eastAsia="Courier New" w:hAnsi="Times New Roman" w:cs="Times New Roman"/>
          <w:kern w:val="0"/>
          <w:sz w:val="28"/>
          <w:szCs w:val="28"/>
          <w:lang w:val="sv-SE" w:eastAsia="vi-VN"/>
          <w14:ligatures w14:val="none"/>
        </w:rPr>
        <w:t xml:space="preserve"> Theo đó, cùng với </w:t>
      </w:r>
      <w:r w:rsidRPr="00371976">
        <w:rPr>
          <w:rFonts w:ascii="Times New Roman" w:eastAsia="Times New Roman" w:hAnsi="Times New Roman" w:cs="Times New Roman"/>
          <w:kern w:val="0"/>
          <w:sz w:val="28"/>
          <w:szCs w:val="28"/>
          <w:lang w:val="sv-SE"/>
          <w14:ligatures w14:val="none"/>
        </w:rPr>
        <w:t>mục tiêu tăng trưởng kinh tế, giảm mức độ ảnh hưởng đối với các đối tượng sử dụng đất, giá đất tại Bảng giá đất dự thảo gần như không biến động so với Bảng giá hiện hành, đặc biệt tại các khu vực bị ảnh hưởng nhiều như huyện Nhà Bè cũ, huyện Củ Chi cũ, huyện Hóc Môn cũ, huyện Bình Chánh cũ mức giá đề xuất gần như không biến động. Bên cạnh đó, giá đất nông nghiệp được đề xuất tăng theo khu vực đảm bảo hài hòa trên toàn địa bàn Thành phố Hồ Chí Minh sau sáp nhập. Do đó, bảng giá đất dự thảo không tác động về chuyển mục đích sử dụng đất.</w:t>
      </w:r>
      <w:r>
        <w:rPr>
          <w:rFonts w:ascii="Times New Roman" w:eastAsia="Times New Roman" w:hAnsi="Times New Roman" w:cs="Times New Roman"/>
          <w:kern w:val="0"/>
          <w:sz w:val="28"/>
          <w:szCs w:val="28"/>
          <w:lang w:val="sv-SE"/>
          <w14:ligatures w14:val="none"/>
        </w:rPr>
        <w:t xml:space="preserve"> </w:t>
      </w:r>
      <w:r w:rsidR="000C6F35">
        <w:rPr>
          <w:rFonts w:ascii="Times New Roman" w:eastAsia="Times New Roman" w:hAnsi="Times New Roman" w:cs="Times New Roman"/>
          <w:kern w:val="0"/>
          <w:sz w:val="28"/>
          <w:szCs w:val="28"/>
          <w:lang w:val="sv-SE"/>
          <w14:ligatures w14:val="none"/>
        </w:rPr>
        <w:t>Tương tự như trên, Bảng giá đất mới trên địa bàn các phường, xã thuộc khu vực Bà Rịa-Vũng Tàu cũng ảnh hưởng như khu vực Thành phố Hồ Chí Minh cũ.</w:t>
      </w:r>
    </w:p>
    <w:p w14:paraId="3A957147" w14:textId="628EDC96"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sv-SE" w:eastAsia="vi-VN"/>
          <w14:ligatures w14:val="none"/>
        </w:rPr>
      </w:pPr>
      <w:r w:rsidRPr="00371976">
        <w:rPr>
          <w:rFonts w:ascii="Times New Roman" w:eastAsia="Courier New" w:hAnsi="Times New Roman" w:cs="Times New Roman"/>
          <w:kern w:val="0"/>
          <w:sz w:val="28"/>
          <w:szCs w:val="28"/>
          <w:lang w:val="sv-SE" w:eastAsia="vi-VN"/>
          <w14:ligatures w14:val="none"/>
        </w:rPr>
        <w:t>Bảng giá đất mới sẽ có sự ảnh hưởng đến việc thu tiền sử dụng đất khi hộ gia đình, cá nhân được Nhà nước cho phép chuyển mục đích sử dụng đất tại địa bàn tỉnh Bình Dương (cũ)</w:t>
      </w:r>
      <w:r w:rsidRPr="00371976">
        <w:rPr>
          <w:rFonts w:ascii="Times New Roman" w:eastAsia="Courier New" w:hAnsi="Times New Roman" w:cs="Times New Roman"/>
          <w:kern w:val="0"/>
          <w:sz w:val="28"/>
          <w:szCs w:val="28"/>
          <w:lang w:val="sv-SE" w:eastAsia="vi-VN"/>
          <w14:ligatures w14:val="none"/>
        </w:rPr>
        <w:t xml:space="preserve">, </w:t>
      </w:r>
      <w:r w:rsidRPr="00371976">
        <w:rPr>
          <w:rFonts w:ascii="Times New Roman" w:eastAsia="Courier New" w:hAnsi="Times New Roman" w:cs="Times New Roman"/>
          <w:kern w:val="0"/>
          <w:sz w:val="28"/>
          <w:szCs w:val="28"/>
          <w:lang w:val="sv-SE" w:eastAsia="vi-VN"/>
          <w14:ligatures w14:val="none"/>
        </w:rPr>
        <w:t xml:space="preserve">mức độ ảnh hưởng có thể cao hơn so với địa bàn Thành phố Hồ Chí Minh (cũ) do tiêu chí xác định vị trí đất được thống nhất giữa các tỉnh, thành phố sau khi sáp nhập. Tuy nhiên, theo Luật Đất đai năm 2024 có hiệu lực thi hành kể từ ngày 01 tháng 08 năm 2024, về mặt nguyên tắc, giá đất tại Bảng giá đất phải phản ánh được giá đất thực tế phổ biến trên thị trường trong điều kiện bình thường theo chủ trương của Đảng tại Nghị quyết số 18-NQ/TW, do đó hầu như các tỉnh, thành phố (cũ) trên cả nước nói chung và Thành phố Hồ Chí Minh (cũ) và tỉnh Bình Dương (cũ) nói riêng đã từng bước xây dựng Bảng giá đất theo hướng tiệm cận với giá thị trường kể từ khi Luật đất đai năm 2024 có hiệu lực. Vì vậy, mặc dù Bảng giá đất mới có ảnh hưởng đến việc thu tiền sử dụng đất khi hộ gia đình, cá nhân được Nhà nước cho phép chuyển mục đích sử dụng đất nhưng mức độ ảnh hưởng không đáng kể. </w:t>
      </w:r>
    </w:p>
    <w:p w14:paraId="12277D5F"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i/>
          <w:iCs/>
          <w:kern w:val="0"/>
          <w:sz w:val="28"/>
          <w:szCs w:val="28"/>
          <w:lang w:val="vi-VN" w:eastAsia="vi-VN"/>
          <w14:ligatures w14:val="none"/>
        </w:rPr>
      </w:pPr>
      <w:r w:rsidRPr="00371976">
        <w:rPr>
          <w:rFonts w:ascii="Times New Roman" w:eastAsia="Courier New" w:hAnsi="Times New Roman" w:cs="Times New Roman"/>
          <w:kern w:val="0"/>
          <w:sz w:val="28"/>
          <w:szCs w:val="28"/>
          <w:lang w:val="vi-VN" w:eastAsia="vi-VN"/>
          <w14:ligatures w14:val="none"/>
        </w:rPr>
        <w:lastRenderedPageBreak/>
        <w:t xml:space="preserve">Tuy nhiên, tác động này tạo sự công bằng cho các đối tượng sử dụng đất, đó là, theo quy định tại Luật Đất đai năm 2013 thì người thu hồi đất được bố trí tại định cư thì giá bố trí tái định cư được xác định theo giá đất cụ thể (giá thị trường) nay theo quy định tại khoản 3 Điều 111 Luật Đất đai năm 2024 thì tính theo </w:t>
      </w:r>
      <w:r w:rsidRPr="00371976">
        <w:rPr>
          <w:rFonts w:ascii="Times New Roman" w:eastAsia="Courier New" w:hAnsi="Times New Roman" w:cs="Times New Roman"/>
          <w:kern w:val="0"/>
          <w:sz w:val="28"/>
          <w:szCs w:val="28"/>
          <w:lang w:val="sv-SE" w:eastAsia="vi-VN"/>
          <w14:ligatures w14:val="none"/>
        </w:rPr>
        <w:t>B</w:t>
      </w:r>
      <w:r w:rsidRPr="00371976">
        <w:rPr>
          <w:rFonts w:ascii="Times New Roman" w:eastAsia="Courier New" w:hAnsi="Times New Roman" w:cs="Times New Roman"/>
          <w:kern w:val="0"/>
          <w:sz w:val="28"/>
          <w:szCs w:val="28"/>
          <w:lang w:val="vi-VN" w:eastAsia="vi-VN"/>
          <w14:ligatures w14:val="none"/>
        </w:rPr>
        <w:t>ảng giá</w:t>
      </w:r>
      <w:r w:rsidRPr="00371976">
        <w:rPr>
          <w:rFonts w:ascii="Times New Roman" w:eastAsia="Courier New" w:hAnsi="Times New Roman" w:cs="Times New Roman"/>
          <w:kern w:val="0"/>
          <w:sz w:val="28"/>
          <w:szCs w:val="28"/>
          <w:lang w:val="sv-SE" w:eastAsia="vi-VN"/>
          <w14:ligatures w14:val="none"/>
        </w:rPr>
        <w:t xml:space="preserve"> đất. </w:t>
      </w:r>
      <w:r w:rsidRPr="00371976">
        <w:rPr>
          <w:rFonts w:ascii="Times New Roman" w:eastAsia="Courier New" w:hAnsi="Times New Roman" w:cs="Times New Roman"/>
          <w:kern w:val="0"/>
          <w:sz w:val="28"/>
          <w:szCs w:val="28"/>
          <w:lang w:val="vi-VN" w:eastAsia="vi-VN"/>
          <w14:ligatures w14:val="none"/>
        </w:rPr>
        <w:t xml:space="preserve">Do đó, người được bố trí tái định cư sau này hoặc người sử dụng đất khi chuyển mục đích sử dụng đất tại tuyến đường này cũng phải tương ứng với mức giá nêu trên, việc này sẽ bảo đảm hài hòa lợi ích giữa Nhà nước, người sử dụng đất và nhà đầu tư theo quy định tại điểm đ, khoản 1, Điều 158, Luật Đất đai năm 2024 </w:t>
      </w:r>
      <w:r w:rsidRPr="00371976">
        <w:rPr>
          <w:rFonts w:ascii="Times New Roman" w:eastAsia="Courier New" w:hAnsi="Times New Roman" w:cs="Times New Roman"/>
          <w:i/>
          <w:iCs/>
          <w:kern w:val="0"/>
          <w:sz w:val="28"/>
          <w:szCs w:val="28"/>
          <w:lang w:val="vi-VN" w:eastAsia="vi-VN"/>
          <w14:ligatures w14:val="none"/>
        </w:rPr>
        <w:t xml:space="preserve">“1. Việc xác định giá đất phải đảm bảo các nguyên tắc sau đây:.....đ) </w:t>
      </w:r>
      <w:r w:rsidRPr="00371976">
        <w:rPr>
          <w:rFonts w:ascii="Times New Roman" w:eastAsia="Courier New" w:hAnsi="Times New Roman" w:cs="Times New Roman"/>
          <w:b/>
          <w:i/>
          <w:iCs/>
          <w:kern w:val="0"/>
          <w:sz w:val="28"/>
          <w:szCs w:val="28"/>
          <w:lang w:val="vi-VN" w:eastAsia="vi-VN"/>
          <w14:ligatures w14:val="none"/>
        </w:rPr>
        <w:t>Bảo đảm hài hòa lợi ích giữa Nhà nước, người sử dụng đất và nhà đầu tư</w:t>
      </w:r>
      <w:r w:rsidRPr="00371976">
        <w:rPr>
          <w:rFonts w:ascii="Times New Roman" w:eastAsia="Courier New" w:hAnsi="Times New Roman" w:cs="Times New Roman"/>
          <w:i/>
          <w:iCs/>
          <w:kern w:val="0"/>
          <w:sz w:val="28"/>
          <w:szCs w:val="28"/>
          <w:lang w:val="vi-VN" w:eastAsia="vi-VN"/>
          <w14:ligatures w14:val="none"/>
        </w:rPr>
        <w:t>”.</w:t>
      </w:r>
    </w:p>
    <w:p w14:paraId="1001716B"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kern w:val="0"/>
          <w:sz w:val="28"/>
          <w:szCs w:val="28"/>
          <w:lang w:val="vi-VN" w:eastAsia="vi-VN"/>
          <w14:ligatures w14:val="none"/>
        </w:rPr>
        <w:t xml:space="preserve">Các hộ nghèo, gia đình chính sách đã có chế độ </w:t>
      </w:r>
      <w:r w:rsidRPr="00371976">
        <w:rPr>
          <w:rFonts w:ascii="Times New Roman" w:eastAsia="Courier New" w:hAnsi="Times New Roman" w:cs="Times New Roman"/>
          <w:b/>
          <w:kern w:val="0"/>
          <w:sz w:val="28"/>
          <w:szCs w:val="28"/>
          <w:lang w:val="vi-VN" w:eastAsia="vi-VN"/>
          <w14:ligatures w14:val="none"/>
        </w:rPr>
        <w:t>miễn, giảm</w:t>
      </w:r>
      <w:r w:rsidRPr="00371976">
        <w:rPr>
          <w:rFonts w:ascii="Times New Roman" w:eastAsia="Courier New" w:hAnsi="Times New Roman" w:cs="Times New Roman"/>
          <w:kern w:val="0"/>
          <w:sz w:val="28"/>
          <w:szCs w:val="28"/>
          <w:lang w:val="vi-VN" w:eastAsia="vi-VN"/>
          <w14:ligatures w14:val="none"/>
        </w:rPr>
        <w:t xml:space="preserve"> tiền sử dụng đất khi đáp ứng các điều kiện theo quy định tại </w:t>
      </w:r>
      <w:r w:rsidRPr="00371976">
        <w:rPr>
          <w:rFonts w:ascii="Times New Roman" w:eastAsia="Courier New" w:hAnsi="Times New Roman" w:cs="Times New Roman"/>
          <w:kern w:val="0"/>
          <w:sz w:val="28"/>
          <w:szCs w:val="28"/>
          <w:lang w:val="sv-SE" w:eastAsia="vi-VN"/>
          <w14:ligatures w14:val="none"/>
        </w:rPr>
        <w:t>Nghị định số 103/2024/NĐ-CP và Nghị định 291/2024/NĐ-CP của Chính phủ</w:t>
      </w:r>
      <w:r w:rsidRPr="00371976">
        <w:rPr>
          <w:rFonts w:ascii="Times New Roman" w:eastAsia="Courier New" w:hAnsi="Times New Roman" w:cs="Times New Roman"/>
          <w:kern w:val="0"/>
          <w:sz w:val="28"/>
          <w:szCs w:val="28"/>
          <w:lang w:val="vi-VN" w:eastAsia="vi-VN"/>
          <w14:ligatures w14:val="none"/>
        </w:rPr>
        <w:t xml:space="preserve"> quy định về thu tiền sử dụng đất, tiền thuê đất.</w:t>
      </w:r>
    </w:p>
    <w:p w14:paraId="2268C96D"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b/>
          <w:bCs/>
          <w:kern w:val="0"/>
          <w:sz w:val="28"/>
          <w:szCs w:val="28"/>
          <w:lang w:val="vi-VN" w:eastAsia="vi-VN"/>
          <w14:ligatures w14:val="none"/>
        </w:rPr>
        <w:t>1.3.</w:t>
      </w:r>
      <w:r w:rsidRPr="00371976">
        <w:rPr>
          <w:rFonts w:ascii="Times New Roman" w:eastAsia="Courier New" w:hAnsi="Times New Roman" w:cs="Times New Roman"/>
          <w:kern w:val="0"/>
          <w:sz w:val="28"/>
          <w:szCs w:val="28"/>
          <w:lang w:val="vi-VN" w:eastAsia="vi-VN"/>
          <w14:ligatures w14:val="none"/>
        </w:rPr>
        <w:t xml:space="preserve"> </w:t>
      </w:r>
      <w:r w:rsidRPr="00371976">
        <w:rPr>
          <w:rFonts w:ascii="Times New Roman" w:eastAsia="Courier New" w:hAnsi="Times New Roman" w:cs="Times New Roman"/>
          <w:b/>
          <w:bCs/>
          <w:kern w:val="0"/>
          <w:sz w:val="28"/>
          <w:szCs w:val="28"/>
          <w:lang w:val="vi-VN" w:eastAsia="vi-VN"/>
          <w14:ligatures w14:val="none"/>
        </w:rPr>
        <w:t>Các đối tượng được Nhà nước cho thuê đất thu tiền thuê đất hằng năm</w:t>
      </w:r>
      <w:r w:rsidRPr="00371976">
        <w:rPr>
          <w:rFonts w:ascii="Times New Roman" w:eastAsia="Courier New" w:hAnsi="Times New Roman" w:cs="Times New Roman"/>
          <w:kern w:val="0"/>
          <w:sz w:val="28"/>
          <w:szCs w:val="28"/>
          <w:lang w:val="vi-VN" w:eastAsia="vi-VN"/>
          <w14:ligatures w14:val="none"/>
        </w:rPr>
        <w:t>.</w:t>
      </w:r>
    </w:p>
    <w:p w14:paraId="29040CE0"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kern w:val="0"/>
          <w:sz w:val="28"/>
          <w:szCs w:val="28"/>
          <w:lang w:val="vi-VN" w:eastAsia="vi-VN"/>
          <w14:ligatures w14:val="none"/>
        </w:rPr>
        <w:t xml:space="preserve"> Về bản chất Bảng giá đất điều chỉnh có ảnh hưởng không đáng kể đến các đối tượng thuê đất trả tiền thuê đất hàng năm, vì theo Luật Đất đai năm 2013 các trường hợp này được xác định giá đất cụ thể (theo giá thị trường) nay được cập nhật vào bảng giá đất là phù hợp với tình hình thực tế về giá đất tại thành phố Hồ Chí Minh.</w:t>
      </w:r>
    </w:p>
    <w:p w14:paraId="1B6EC2A5"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kern w:val="0"/>
          <w:sz w:val="28"/>
          <w:szCs w:val="28"/>
          <w:lang w:val="vi-VN" w:eastAsia="vi-VN"/>
          <w14:ligatures w14:val="none"/>
        </w:rPr>
        <w:t>Nghị định số 103/2024/NĐ-CP ngày 30/7/2024 quy định về thu tiền sử dụng đất, tiền thuê đất thì đơn giá thuê đất được tính theo tỷ lệ % trên đơn giá đất từ 0,25% đến 3%, Hiện nay UBND Thành phố Hồ Chí Minh  đã ban hành Quyết định số 09/2025/QĐ-UBND ngày 20/01/2025 và UBND tỉnh Bình Dương cũ đã ban hành Quyết định số 64/2025/QĐ-UBND ngày 20/12/2024 Quy định mức tỷ lệ phần trăm (%) để tính đơn giá thuê đất, mức đơn giá thuê đất xây dựng công trình ngầm và mức đơn giá thuê đất đối với đất có mặt nước trên địa bàn tương ứng. Nên khi xây dựng bảng giá đất tăng lên, sẽ làm tăng tiền thuê đất hàng năm tương ứng nếu không điều chỉnh tỷ lệ thuê hàng năm.</w:t>
      </w:r>
    </w:p>
    <w:p w14:paraId="032E028C"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b/>
          <w:bCs/>
          <w:kern w:val="0"/>
          <w:sz w:val="28"/>
          <w:szCs w:val="28"/>
          <w:lang w:val="vi-VN" w:eastAsia="vi-VN"/>
          <w14:ligatures w14:val="none"/>
        </w:rPr>
        <w:t>1.4. Tính thuế sử dụng đất cho người sử dụng đất</w:t>
      </w:r>
      <w:r w:rsidRPr="00371976">
        <w:rPr>
          <w:rFonts w:ascii="Times New Roman" w:eastAsia="Courier New" w:hAnsi="Times New Roman" w:cs="Times New Roman"/>
          <w:kern w:val="0"/>
          <w:sz w:val="28"/>
          <w:szCs w:val="28"/>
          <w:lang w:val="vi-VN" w:eastAsia="vi-VN"/>
          <w14:ligatures w14:val="none"/>
        </w:rPr>
        <w:t>.</w:t>
      </w:r>
    </w:p>
    <w:p w14:paraId="172456BB"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kern w:val="0"/>
          <w:sz w:val="28"/>
          <w:szCs w:val="28"/>
          <w:lang w:val="vi-VN" w:eastAsia="vi-VN"/>
          <w14:ligatures w14:val="none"/>
        </w:rPr>
        <w:t xml:space="preserve">Tính thuế sử dụng đất cho người sử dụng đất. Bảng giá đất điều chỉnh có ảnh hưởng đến mức thu thuế sử dụng đất. Mức thu thuế sử dụng đất phi nông nghiệp trước đây được xác định theo công thức tính là 0,03% x giá tại Bảng giá đất x Diện tích đất trong hạn mức (diện tích ngoài hạn mức là 0,15%). Tuy nhiên, theo quy định tại khoản 3, Điều 6 Luật Thuế sử dụng đất phi nông nghiệp có hiệu lực ngày 01 tháng 01 năm 2012 thì bảng giá đất để tính thuế phi nông nghiệp ổn định 5 năm kể từ ngày 01 tháng 01 năm 2012. Tính đến nay, Bảng giá đất theo Quyết định số 02/2020/QĐ-UBND đang được áp dụng trong chu kỳ thứ 3 và sẽ kết thúc vào ngày 31 tháng 12 năm 2026 và đến ngày 01/01/2027 mới áp dụng bảng giá đất mới này cho chu kỳ </w:t>
      </w:r>
      <w:r w:rsidRPr="00371976">
        <w:rPr>
          <w:rFonts w:ascii="Times New Roman" w:eastAsia="Courier New" w:hAnsi="Times New Roman" w:cs="Times New Roman"/>
          <w:kern w:val="0"/>
          <w:sz w:val="28"/>
          <w:szCs w:val="28"/>
          <w:lang w:val="vi-VN" w:eastAsia="vi-VN"/>
          <w14:ligatures w14:val="none"/>
        </w:rPr>
        <w:lastRenderedPageBreak/>
        <w:t xml:space="preserve">5 năm tiếp theo, do đó, Bảng giá đất điều chỉnh sẽ không ảnh hưởng đến thu thuế phi nông nghiệp từ nay đến hết năm 2026 </w:t>
      </w:r>
    </w:p>
    <w:p w14:paraId="681FFB4E"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b/>
          <w:bCs/>
          <w:kern w:val="0"/>
          <w:sz w:val="28"/>
          <w:szCs w:val="28"/>
          <w:lang w:val="vi-VN" w:eastAsia="vi-VN"/>
          <w14:ligatures w14:val="none"/>
        </w:rPr>
        <w:t>1.5.</w:t>
      </w:r>
      <w:r w:rsidRPr="00371976">
        <w:rPr>
          <w:rFonts w:ascii="Times New Roman" w:eastAsia="Courier New" w:hAnsi="Times New Roman" w:cs="Times New Roman"/>
          <w:kern w:val="0"/>
          <w:sz w:val="28"/>
          <w:szCs w:val="28"/>
          <w:lang w:val="vi-VN" w:eastAsia="vi-VN"/>
          <w14:ligatures w14:val="none"/>
        </w:rPr>
        <w:t xml:space="preserve"> </w:t>
      </w:r>
      <w:r w:rsidRPr="00371976">
        <w:rPr>
          <w:rFonts w:ascii="Times New Roman" w:eastAsia="Courier New" w:hAnsi="Times New Roman" w:cs="Times New Roman"/>
          <w:b/>
          <w:bCs/>
          <w:kern w:val="0"/>
          <w:sz w:val="28"/>
          <w:szCs w:val="28"/>
          <w:lang w:val="vi-VN" w:eastAsia="vi-VN"/>
          <w14:ligatures w14:val="none"/>
        </w:rPr>
        <w:t>Tính thuế thu nhập từ chuyển quyền sử dụng đất đối với hộ gia đình, cá nhân</w:t>
      </w:r>
      <w:r w:rsidRPr="00371976">
        <w:rPr>
          <w:rFonts w:ascii="Times New Roman" w:eastAsia="Courier New" w:hAnsi="Times New Roman" w:cs="Times New Roman"/>
          <w:kern w:val="0"/>
          <w:sz w:val="28"/>
          <w:szCs w:val="28"/>
          <w:lang w:val="vi-VN" w:eastAsia="vi-VN"/>
          <w14:ligatures w14:val="none"/>
        </w:rPr>
        <w:t>.</w:t>
      </w:r>
    </w:p>
    <w:p w14:paraId="2DF8D919"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kern w:val="0"/>
          <w:sz w:val="28"/>
          <w:szCs w:val="28"/>
          <w:lang w:val="vi-VN" w:eastAsia="vi-VN"/>
          <w14:ligatures w14:val="none"/>
        </w:rPr>
        <w:t xml:space="preserve"> </w:t>
      </w:r>
      <w:r w:rsidRPr="00371976">
        <w:rPr>
          <w:rFonts w:ascii="Times New Roman" w:eastAsia="Times New Roman" w:hAnsi="Times New Roman" w:cs="Times New Roman"/>
          <w:kern w:val="0"/>
          <w:sz w:val="28"/>
          <w:szCs w:val="28"/>
          <w:lang w:val="vi-VN"/>
          <w14:ligatures w14:val="none"/>
        </w:rPr>
        <w:t>Theo</w:t>
      </w:r>
      <w:r w:rsidRPr="00371976">
        <w:rPr>
          <w:rFonts w:ascii="Times New Roman" w:eastAsia="Times New Roman" w:hAnsi="Times New Roman" w:cs="Times New Roman"/>
          <w:spacing w:val="-6"/>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pháp</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luật</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đất</w:t>
      </w:r>
      <w:r w:rsidRPr="00371976">
        <w:rPr>
          <w:rFonts w:ascii="Times New Roman" w:eastAsia="Times New Roman" w:hAnsi="Times New Roman" w:cs="Times New Roman"/>
          <w:spacing w:val="-1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đai</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năm</w:t>
      </w:r>
      <w:r w:rsidRPr="00371976">
        <w:rPr>
          <w:rFonts w:ascii="Times New Roman" w:eastAsia="Times New Roman" w:hAnsi="Times New Roman" w:cs="Times New Roman"/>
          <w:spacing w:val="-1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2013,</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thì</w:t>
      </w:r>
      <w:r w:rsidRPr="00371976">
        <w:rPr>
          <w:rFonts w:ascii="Times New Roman" w:eastAsia="Times New Roman" w:hAnsi="Times New Roman" w:cs="Times New Roman"/>
          <w:spacing w:val="-1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trường</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hợp</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này</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căn</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cứ</w:t>
      </w:r>
      <w:r w:rsidRPr="00371976">
        <w:rPr>
          <w:rFonts w:ascii="Times New Roman" w:eastAsia="Times New Roman" w:hAnsi="Times New Roman" w:cs="Times New Roman"/>
          <w:spacing w:val="-1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hợp</w:t>
      </w:r>
      <w:r w:rsidRPr="00371976">
        <w:rPr>
          <w:rFonts w:ascii="Times New Roman" w:eastAsia="Times New Roman" w:hAnsi="Times New Roman" w:cs="Times New Roman"/>
          <w:spacing w:val="-1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đồng</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chuyển</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nhượng</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để tính thuế thu nhập, do đó, Luật Đất đai năm 2024 quy định áp dụng bảng giá đất để tính thuế thu</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nhập</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có</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tác</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động</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đến</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các</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bên</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tham</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gia</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chuyển</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nhượng</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quyền</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sử</w:t>
      </w:r>
      <w:r w:rsidRPr="00371976">
        <w:rPr>
          <w:rFonts w:ascii="Times New Roman" w:eastAsia="Times New Roman" w:hAnsi="Times New Roman" w:cs="Times New Roman"/>
          <w:spacing w:val="-6"/>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dụng</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đất,</w:t>
      </w:r>
      <w:r w:rsidRPr="00371976">
        <w:rPr>
          <w:rFonts w:ascii="Times New Roman" w:eastAsia="Times New Roman" w:hAnsi="Times New Roman" w:cs="Times New Roman"/>
          <w:spacing w:val="-3"/>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tuy</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nhiên</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là</w:t>
      </w:r>
      <w:r w:rsidRPr="00371976">
        <w:rPr>
          <w:rFonts w:ascii="Times New Roman" w:eastAsia="Times New Roman" w:hAnsi="Times New Roman" w:cs="Times New Roman"/>
          <w:spacing w:val="-5"/>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tác động tích cực, hạn chế tình trạng “ghi giá chuyển nhượng thấp hơn hoặc cao hơn bất thường so</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với</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thực</w:t>
      </w:r>
      <w:r w:rsidRPr="00371976">
        <w:rPr>
          <w:rFonts w:ascii="Times New Roman" w:eastAsia="Times New Roman" w:hAnsi="Times New Roman" w:cs="Times New Roman"/>
          <w:spacing w:val="-6"/>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tế”</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và</w:t>
      </w:r>
      <w:r w:rsidRPr="00371976">
        <w:rPr>
          <w:rFonts w:ascii="Times New Roman" w:eastAsia="Times New Roman" w:hAnsi="Times New Roman" w:cs="Times New Roman"/>
          <w:spacing w:val="-6"/>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góp</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phần</w:t>
      </w:r>
      <w:r w:rsidRPr="00371976">
        <w:rPr>
          <w:rFonts w:ascii="Times New Roman" w:eastAsia="Times New Roman" w:hAnsi="Times New Roman" w:cs="Times New Roman"/>
          <w:spacing w:val="-6"/>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xóa</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bỏ</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tình</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trạng</w:t>
      </w:r>
      <w:r w:rsidRPr="00371976">
        <w:rPr>
          <w:rFonts w:ascii="Times New Roman" w:eastAsia="Times New Roman" w:hAnsi="Times New Roman" w:cs="Times New Roman"/>
          <w:spacing w:val="-6"/>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“hai</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giá”</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trên</w:t>
      </w:r>
      <w:r w:rsidRPr="00371976">
        <w:rPr>
          <w:rFonts w:ascii="Times New Roman" w:eastAsia="Times New Roman" w:hAnsi="Times New Roman" w:cs="Times New Roman"/>
          <w:spacing w:val="-6"/>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thị</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trường,</w:t>
      </w:r>
      <w:r w:rsidRPr="00371976">
        <w:rPr>
          <w:rFonts w:ascii="Times New Roman" w:eastAsia="Times New Roman" w:hAnsi="Times New Roman" w:cs="Times New Roman"/>
          <w:spacing w:val="-4"/>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đồng</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thời</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việc</w:t>
      </w:r>
      <w:r w:rsidRPr="00371976">
        <w:rPr>
          <w:rFonts w:ascii="Times New Roman" w:eastAsia="Times New Roman" w:hAnsi="Times New Roman" w:cs="Times New Roman"/>
          <w:spacing w:val="-6"/>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này</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còn tạo ra sự</w:t>
      </w:r>
      <w:r w:rsidRPr="00371976">
        <w:rPr>
          <w:rFonts w:ascii="Times New Roman" w:eastAsia="Times New Roman" w:hAnsi="Times New Roman" w:cs="Times New Roman"/>
          <w:spacing w:val="-3"/>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công khai, minh</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bạch khi</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chuyển nhượng và</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sẽ là nguồn dữ</w:t>
      </w:r>
      <w:r w:rsidRPr="00371976">
        <w:rPr>
          <w:rFonts w:ascii="Times New Roman" w:eastAsia="Times New Roman" w:hAnsi="Times New Roman" w:cs="Times New Roman"/>
          <w:spacing w:val="-3"/>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liệu quan</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trọng để</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phục vụ cho công tác quản lý đất đai</w:t>
      </w:r>
      <w:r w:rsidRPr="00371976">
        <w:rPr>
          <w:rFonts w:ascii="Times New Roman" w:eastAsia="Courier New" w:hAnsi="Times New Roman" w:cs="Times New Roman"/>
          <w:kern w:val="0"/>
          <w:sz w:val="28"/>
          <w:szCs w:val="28"/>
          <w:lang w:val="vi-VN" w:eastAsia="vi-VN"/>
          <w14:ligatures w14:val="none"/>
        </w:rPr>
        <w:t>.</w:t>
      </w:r>
    </w:p>
    <w:p w14:paraId="3EAD4DED"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b/>
          <w:bCs/>
          <w:kern w:val="0"/>
          <w:sz w:val="28"/>
          <w:szCs w:val="28"/>
          <w:lang w:val="vi-VN" w:eastAsia="vi-VN"/>
          <w14:ligatures w14:val="none"/>
        </w:rPr>
        <w:t>1.6.</w:t>
      </w:r>
      <w:r w:rsidRPr="00371976">
        <w:rPr>
          <w:rFonts w:ascii="Times New Roman" w:eastAsia="Courier New" w:hAnsi="Times New Roman" w:cs="Times New Roman"/>
          <w:kern w:val="0"/>
          <w:sz w:val="28"/>
          <w:szCs w:val="28"/>
          <w:lang w:val="vi-VN" w:eastAsia="vi-VN"/>
          <w14:ligatures w14:val="none"/>
        </w:rPr>
        <w:t xml:space="preserve"> </w:t>
      </w:r>
      <w:r w:rsidRPr="00371976">
        <w:rPr>
          <w:rFonts w:ascii="Times New Roman" w:eastAsia="Courier New" w:hAnsi="Times New Roman" w:cs="Times New Roman"/>
          <w:b/>
          <w:bCs/>
          <w:kern w:val="0"/>
          <w:sz w:val="28"/>
          <w:szCs w:val="28"/>
          <w:lang w:val="vi-VN" w:eastAsia="vi-VN"/>
          <w14:ligatures w14:val="none"/>
        </w:rPr>
        <w:t>Tính lệ phí trong quản lý, sử dụng đất đai</w:t>
      </w:r>
      <w:r w:rsidRPr="00371976">
        <w:rPr>
          <w:rFonts w:ascii="Times New Roman" w:eastAsia="Courier New" w:hAnsi="Times New Roman" w:cs="Times New Roman"/>
          <w:kern w:val="0"/>
          <w:sz w:val="28"/>
          <w:szCs w:val="28"/>
          <w:lang w:val="vi-VN" w:eastAsia="vi-VN"/>
          <w14:ligatures w14:val="none"/>
        </w:rPr>
        <w:t xml:space="preserve">. </w:t>
      </w:r>
    </w:p>
    <w:p w14:paraId="19935FA2"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kern w:val="0"/>
          <w:sz w:val="28"/>
          <w:szCs w:val="28"/>
          <w:lang w:val="vi-VN" w:eastAsia="vi-VN"/>
          <w14:ligatures w14:val="none"/>
        </w:rPr>
        <w:t>Bảng giá đất điều chỉnh có ảnh hưởng đến lệ phí trong quản lý, sử dụng đất nhưng cập nhật đầy đủ phù hợp với tình hình thực tế, mặt bằng giá đất trên địa bàn Thành phố Hồ Chí Minh.</w:t>
      </w:r>
    </w:p>
    <w:p w14:paraId="45C877DC"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b/>
          <w:bCs/>
          <w:kern w:val="0"/>
          <w:sz w:val="28"/>
          <w:szCs w:val="28"/>
          <w:lang w:val="vi-VN" w:eastAsia="vi-VN"/>
          <w14:ligatures w14:val="none"/>
        </w:rPr>
        <w:t>1.7.</w:t>
      </w:r>
      <w:r w:rsidRPr="00371976">
        <w:rPr>
          <w:rFonts w:ascii="Times New Roman" w:eastAsia="Courier New" w:hAnsi="Times New Roman" w:cs="Times New Roman"/>
          <w:kern w:val="0"/>
          <w:sz w:val="28"/>
          <w:szCs w:val="28"/>
          <w:lang w:val="vi-VN" w:eastAsia="vi-VN"/>
          <w14:ligatures w14:val="none"/>
        </w:rPr>
        <w:t xml:space="preserve"> </w:t>
      </w:r>
      <w:r w:rsidRPr="00371976">
        <w:rPr>
          <w:rFonts w:ascii="Times New Roman" w:eastAsia="Courier New" w:hAnsi="Times New Roman" w:cs="Times New Roman"/>
          <w:b/>
          <w:bCs/>
          <w:kern w:val="0"/>
          <w:sz w:val="28"/>
          <w:szCs w:val="28"/>
          <w:lang w:val="vi-VN" w:eastAsia="vi-VN"/>
          <w14:ligatures w14:val="none"/>
        </w:rPr>
        <w:t>Tính tiền xử phạt vi phạm hành chính trong lĩnh vực đất đai.</w:t>
      </w:r>
      <w:r w:rsidRPr="00371976">
        <w:rPr>
          <w:rFonts w:ascii="Times New Roman" w:eastAsia="Courier New" w:hAnsi="Times New Roman" w:cs="Times New Roman"/>
          <w:kern w:val="0"/>
          <w:sz w:val="28"/>
          <w:szCs w:val="28"/>
          <w:lang w:val="vi-VN" w:eastAsia="vi-VN"/>
          <w14:ligatures w14:val="none"/>
        </w:rPr>
        <w:t xml:space="preserve"> </w:t>
      </w:r>
    </w:p>
    <w:p w14:paraId="36AAFAA1"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kern w:val="0"/>
          <w:sz w:val="28"/>
          <w:szCs w:val="28"/>
          <w:lang w:val="vi-VN" w:eastAsia="vi-VN"/>
          <w14:ligatures w14:val="none"/>
        </w:rPr>
        <w:t>Khi áp dụng Bảng giá đất điều chỉnh sẽ tăng mức phạt, do đó, có tác động theo hướng tích cực nhằm hạn chế việc vi phạm hành chính trong lĩnh vực đất đai.</w:t>
      </w:r>
    </w:p>
    <w:p w14:paraId="585DC5CF"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b/>
          <w:bCs/>
          <w:kern w:val="0"/>
          <w:sz w:val="28"/>
          <w:szCs w:val="28"/>
          <w:lang w:val="vi-VN" w:eastAsia="vi-VN"/>
          <w14:ligatures w14:val="none"/>
        </w:rPr>
        <w:t>1.8. Tính tiền bồi thường cho Nhà nước khi gây thiệt hại trong quản lý, sử dụng đất đai.</w:t>
      </w:r>
      <w:r w:rsidRPr="00371976">
        <w:rPr>
          <w:rFonts w:ascii="Times New Roman" w:eastAsia="Courier New" w:hAnsi="Times New Roman" w:cs="Times New Roman"/>
          <w:kern w:val="0"/>
          <w:sz w:val="28"/>
          <w:szCs w:val="28"/>
          <w:lang w:val="vi-VN" w:eastAsia="vi-VN"/>
          <w14:ligatures w14:val="none"/>
        </w:rPr>
        <w:t xml:space="preserve"> </w:t>
      </w:r>
    </w:p>
    <w:p w14:paraId="207A6F71"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Times New Roman" w:hAnsi="Times New Roman" w:cs="Times New Roman"/>
          <w:kern w:val="0"/>
          <w:sz w:val="28"/>
          <w:szCs w:val="28"/>
          <w:lang w:val="vi-VN"/>
          <w14:ligatures w14:val="none"/>
        </w:rPr>
        <w:t>Khi</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áp</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dụng</w:t>
      </w:r>
      <w:r w:rsidRPr="00371976">
        <w:rPr>
          <w:rFonts w:ascii="Times New Roman" w:eastAsia="Times New Roman" w:hAnsi="Times New Roman" w:cs="Times New Roman"/>
          <w:spacing w:val="-1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Bảng</w:t>
      </w:r>
      <w:r w:rsidRPr="00371976">
        <w:rPr>
          <w:rFonts w:ascii="Times New Roman" w:eastAsia="Times New Roman" w:hAnsi="Times New Roman" w:cs="Times New Roman"/>
          <w:spacing w:val="-1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giá</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đất</w:t>
      </w:r>
      <w:r w:rsidRPr="00371976">
        <w:rPr>
          <w:rFonts w:ascii="Times New Roman" w:eastAsia="Times New Roman" w:hAnsi="Times New Roman" w:cs="Times New Roman"/>
          <w:spacing w:val="-1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điều</w:t>
      </w:r>
      <w:r w:rsidRPr="00371976">
        <w:rPr>
          <w:rFonts w:ascii="Times New Roman" w:eastAsia="Times New Roman" w:hAnsi="Times New Roman" w:cs="Times New Roman"/>
          <w:spacing w:val="-1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chỉnh</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có</w:t>
      </w:r>
      <w:r w:rsidRPr="00371976">
        <w:rPr>
          <w:rFonts w:ascii="Times New Roman" w:eastAsia="Times New Roman" w:hAnsi="Times New Roman" w:cs="Times New Roman"/>
          <w:spacing w:val="-1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tác</w:t>
      </w:r>
      <w:r w:rsidRPr="00371976">
        <w:rPr>
          <w:rFonts w:ascii="Times New Roman" w:eastAsia="Times New Roman" w:hAnsi="Times New Roman" w:cs="Times New Roman"/>
          <w:spacing w:val="-1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động</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làm</w:t>
      </w:r>
      <w:r w:rsidRPr="00371976">
        <w:rPr>
          <w:rFonts w:ascii="Times New Roman" w:eastAsia="Times New Roman" w:hAnsi="Times New Roman" w:cs="Times New Roman"/>
          <w:spacing w:val="-1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tăng</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mức</w:t>
      </w:r>
      <w:r w:rsidRPr="00371976">
        <w:rPr>
          <w:rFonts w:ascii="Times New Roman" w:eastAsia="Times New Roman" w:hAnsi="Times New Roman" w:cs="Times New Roman"/>
          <w:spacing w:val="-1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bồi</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thường</w:t>
      </w:r>
      <w:r w:rsidRPr="00371976">
        <w:rPr>
          <w:rFonts w:ascii="Times New Roman" w:eastAsia="Times New Roman" w:hAnsi="Times New Roman" w:cs="Times New Roman"/>
          <w:spacing w:val="-1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cho</w:t>
      </w:r>
      <w:r w:rsidRPr="00371976">
        <w:rPr>
          <w:rFonts w:ascii="Times New Roman" w:eastAsia="Times New Roman" w:hAnsi="Times New Roman" w:cs="Times New Roman"/>
          <w:spacing w:val="-1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Nhà</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nước khi</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gây</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thiệt</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hại</w:t>
      </w:r>
      <w:r w:rsidRPr="00371976">
        <w:rPr>
          <w:rFonts w:ascii="Times New Roman" w:eastAsia="Times New Roman" w:hAnsi="Times New Roman" w:cs="Times New Roman"/>
          <w:spacing w:val="-6"/>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trong</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quản</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lý, sử</w:t>
      </w:r>
      <w:r w:rsidRPr="00371976">
        <w:rPr>
          <w:rFonts w:ascii="Times New Roman" w:eastAsia="Times New Roman" w:hAnsi="Times New Roman" w:cs="Times New Roman"/>
          <w:spacing w:val="-3"/>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dụng</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đất</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đai,</w:t>
      </w:r>
      <w:r w:rsidRPr="00371976">
        <w:rPr>
          <w:rFonts w:ascii="Times New Roman" w:eastAsia="Times New Roman" w:hAnsi="Times New Roman" w:cs="Times New Roman"/>
          <w:spacing w:val="-4"/>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qua</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đó</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góp</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phần</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tăng</w:t>
      </w:r>
      <w:r w:rsidRPr="00371976">
        <w:rPr>
          <w:rFonts w:ascii="Times New Roman" w:eastAsia="Times New Roman" w:hAnsi="Times New Roman" w:cs="Times New Roman"/>
          <w:spacing w:val="-6"/>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hiệu</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lực,</w:t>
      </w:r>
      <w:r w:rsidRPr="00371976">
        <w:rPr>
          <w:rFonts w:ascii="Times New Roman" w:eastAsia="Times New Roman" w:hAnsi="Times New Roman" w:cs="Times New Roman"/>
          <w:spacing w:val="-4"/>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hiệu</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quả</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trong công tác quản lý nhà nước về đất đai</w:t>
      </w:r>
      <w:r w:rsidRPr="00371976">
        <w:rPr>
          <w:rFonts w:ascii="Times New Roman" w:eastAsia="Courier New" w:hAnsi="Times New Roman" w:cs="Times New Roman"/>
          <w:kern w:val="0"/>
          <w:sz w:val="28"/>
          <w:szCs w:val="28"/>
          <w:lang w:val="vi-VN" w:eastAsia="vi-VN"/>
          <w14:ligatures w14:val="none"/>
        </w:rPr>
        <w:t>.</w:t>
      </w:r>
    </w:p>
    <w:p w14:paraId="14120258"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b/>
          <w:bCs/>
          <w:kern w:val="0"/>
          <w:sz w:val="28"/>
          <w:szCs w:val="28"/>
          <w:lang w:val="vi-VN" w:eastAsia="vi-VN"/>
          <w14:ligatures w14:val="none"/>
        </w:rPr>
        <w:t>1.9.</w:t>
      </w:r>
      <w:r w:rsidRPr="00371976">
        <w:rPr>
          <w:rFonts w:ascii="Times New Roman" w:eastAsia="Courier New" w:hAnsi="Times New Roman" w:cs="Times New Roman"/>
          <w:kern w:val="0"/>
          <w:sz w:val="28"/>
          <w:szCs w:val="28"/>
          <w:lang w:val="vi-VN" w:eastAsia="vi-VN"/>
          <w14:ligatures w14:val="none"/>
        </w:rPr>
        <w:t xml:space="preserve"> </w:t>
      </w:r>
      <w:r w:rsidRPr="00371976">
        <w:rPr>
          <w:rFonts w:ascii="Times New Roman" w:eastAsia="Courier New" w:hAnsi="Times New Roman" w:cs="Times New Roman"/>
          <w:b/>
          <w:bCs/>
          <w:kern w:val="0"/>
          <w:sz w:val="28"/>
          <w:szCs w:val="28"/>
          <w:lang w:val="vi-VN" w:eastAsia="vi-VN"/>
          <w14:ligatures w14:val="none"/>
        </w:rPr>
        <w:t>Tính tiền sử dụng đất, tiền thuê đất khi Nhà nước công nhận quyền sử dụng đất theo hình thức giao đất có thu tiền sử dụng đất, cho thuê đất thu tiền thuê đất một lần cho cả thời gian thuê đối với hộ gia đình, cá nhân</w:t>
      </w:r>
      <w:r w:rsidRPr="00371976">
        <w:rPr>
          <w:rFonts w:ascii="Times New Roman" w:eastAsia="Courier New" w:hAnsi="Times New Roman" w:cs="Times New Roman"/>
          <w:kern w:val="0"/>
          <w:sz w:val="28"/>
          <w:szCs w:val="28"/>
          <w:lang w:val="vi-VN" w:eastAsia="vi-VN"/>
          <w14:ligatures w14:val="none"/>
        </w:rPr>
        <w:t>.</w:t>
      </w:r>
    </w:p>
    <w:p w14:paraId="11F0979A"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kern w:val="0"/>
          <w:sz w:val="28"/>
          <w:szCs w:val="28"/>
          <w:lang w:val="vi-VN" w:eastAsia="vi-VN"/>
          <w14:ligatures w14:val="none"/>
        </w:rPr>
        <w:t xml:space="preserve"> Bảng giá đất điều chỉnh có ảnh hưởng đến việc công nhận của hộ gia đình, cá nhân. Mức thu và tỷ lệ thu tiền sử dụng đất sẽ căn cứ vào thời điểm sử dụng đất theo quy định tại Luật Đất đai 2024 và Nghị định về thu tiền sử dụng đất, tiền thuê đất.</w:t>
      </w:r>
    </w:p>
    <w:p w14:paraId="55F4BA2C"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b/>
          <w:bCs/>
          <w:kern w:val="0"/>
          <w:sz w:val="28"/>
          <w:szCs w:val="28"/>
          <w:lang w:val="vi-VN" w:eastAsia="vi-VN"/>
          <w14:ligatures w14:val="none"/>
        </w:rPr>
        <w:t>1.10.</w:t>
      </w:r>
      <w:r w:rsidRPr="00371976">
        <w:rPr>
          <w:rFonts w:ascii="Times New Roman" w:eastAsia="Courier New" w:hAnsi="Times New Roman" w:cs="Times New Roman"/>
          <w:kern w:val="0"/>
          <w:sz w:val="28"/>
          <w:szCs w:val="28"/>
          <w:lang w:val="vi-VN" w:eastAsia="vi-VN"/>
          <w14:ligatures w14:val="none"/>
        </w:rPr>
        <w:t xml:space="preserve"> </w:t>
      </w:r>
      <w:r w:rsidRPr="00371976">
        <w:rPr>
          <w:rFonts w:ascii="Times New Roman" w:eastAsia="Courier New" w:hAnsi="Times New Roman" w:cs="Times New Roman"/>
          <w:b/>
          <w:bCs/>
          <w:kern w:val="0"/>
          <w:sz w:val="28"/>
          <w:szCs w:val="28"/>
          <w:lang w:val="vi-VN" w:eastAsia="vi-VN"/>
          <w14:ligatures w14:val="none"/>
        </w:rPr>
        <w:t>Tính giá khởi điểm để đấu giá quyền sử dụng đất khi Nhà nước giao đất, cho thuê đất đối với trường hợp thửa đất, khu đất đã được đầu tư hạ tầng kỹ thuật theo quy hoạch chi tiết xây dựng</w:t>
      </w:r>
      <w:r w:rsidRPr="00371976">
        <w:rPr>
          <w:rFonts w:ascii="Times New Roman" w:eastAsia="Courier New" w:hAnsi="Times New Roman" w:cs="Times New Roman"/>
          <w:kern w:val="0"/>
          <w:sz w:val="28"/>
          <w:szCs w:val="28"/>
          <w:lang w:val="vi-VN" w:eastAsia="vi-VN"/>
          <w14:ligatures w14:val="none"/>
        </w:rPr>
        <w:t>.</w:t>
      </w:r>
    </w:p>
    <w:p w14:paraId="289711E9"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Times New Roman" w:hAnsi="Times New Roman" w:cs="Times New Roman"/>
          <w:kern w:val="0"/>
          <w:sz w:val="28"/>
          <w:szCs w:val="28"/>
          <w:lang w:val="vi-VN"/>
          <w14:ligatures w14:val="none"/>
        </w:rPr>
        <w:t>Theo Luật Đất đai</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năm</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2013 thì trường</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hợp</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này xác định</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giá đất</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cụ thể -</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giá thị</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trường, do</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đó,</w:t>
      </w:r>
      <w:r w:rsidRPr="00371976">
        <w:rPr>
          <w:rFonts w:ascii="Times New Roman" w:eastAsia="Times New Roman" w:hAnsi="Times New Roman" w:cs="Times New Roman"/>
          <w:spacing w:val="-4"/>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nay</w:t>
      </w:r>
      <w:r w:rsidRPr="00371976">
        <w:rPr>
          <w:rFonts w:ascii="Times New Roman" w:eastAsia="Times New Roman" w:hAnsi="Times New Roman" w:cs="Times New Roman"/>
          <w:spacing w:val="-6"/>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quy</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định</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áp</w:t>
      </w:r>
      <w:r w:rsidRPr="00371976">
        <w:rPr>
          <w:rFonts w:ascii="Times New Roman" w:eastAsia="Times New Roman" w:hAnsi="Times New Roman" w:cs="Times New Roman"/>
          <w:spacing w:val="-6"/>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dụng</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bảng</w:t>
      </w:r>
      <w:r w:rsidRPr="00371976">
        <w:rPr>
          <w:rFonts w:ascii="Times New Roman" w:eastAsia="Times New Roman" w:hAnsi="Times New Roman" w:cs="Times New Roman"/>
          <w:spacing w:val="-6"/>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giá</w:t>
      </w:r>
      <w:r w:rsidRPr="00371976">
        <w:rPr>
          <w:rFonts w:ascii="Times New Roman" w:eastAsia="Times New Roman" w:hAnsi="Times New Roman" w:cs="Times New Roman"/>
          <w:spacing w:val="-6"/>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đất</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sẽ</w:t>
      </w:r>
      <w:r w:rsidRPr="00371976">
        <w:rPr>
          <w:rFonts w:ascii="Times New Roman" w:eastAsia="Times New Roman" w:hAnsi="Times New Roman" w:cs="Times New Roman"/>
          <w:spacing w:val="-6"/>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tác</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động</w:t>
      </w:r>
      <w:r w:rsidRPr="00371976">
        <w:rPr>
          <w:rFonts w:ascii="Times New Roman" w:eastAsia="Times New Roman" w:hAnsi="Times New Roman" w:cs="Times New Roman"/>
          <w:spacing w:val="-2"/>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tích</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cực</w:t>
      </w:r>
      <w:r w:rsidRPr="00371976">
        <w:rPr>
          <w:rFonts w:ascii="Times New Roman" w:eastAsia="Times New Roman" w:hAnsi="Times New Roman" w:cs="Times New Roman"/>
          <w:spacing w:val="-6"/>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đến</w:t>
      </w:r>
      <w:r w:rsidRPr="00371976">
        <w:rPr>
          <w:rFonts w:ascii="Times New Roman" w:eastAsia="Times New Roman" w:hAnsi="Times New Roman" w:cs="Times New Roman"/>
          <w:spacing w:val="-1"/>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trường</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hợp</w:t>
      </w:r>
      <w:r w:rsidRPr="00371976">
        <w:rPr>
          <w:rFonts w:ascii="Times New Roman" w:eastAsia="Times New Roman" w:hAnsi="Times New Roman" w:cs="Times New Roman"/>
          <w:spacing w:val="-7"/>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này,</w:t>
      </w:r>
      <w:r w:rsidRPr="00371976">
        <w:rPr>
          <w:rFonts w:ascii="Times New Roman" w:eastAsia="Times New Roman" w:hAnsi="Times New Roman" w:cs="Times New Roman"/>
          <w:spacing w:val="-4"/>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vì</w:t>
      </w:r>
      <w:r w:rsidRPr="00371976">
        <w:rPr>
          <w:rFonts w:ascii="Times New Roman" w:eastAsia="Times New Roman" w:hAnsi="Times New Roman" w:cs="Times New Roman"/>
          <w:spacing w:val="-6"/>
          <w:kern w:val="0"/>
          <w:sz w:val="28"/>
          <w:szCs w:val="28"/>
          <w:lang w:val="vi-VN"/>
          <w14:ligatures w14:val="none"/>
        </w:rPr>
        <w:t xml:space="preserve"> </w:t>
      </w:r>
      <w:r w:rsidRPr="00371976">
        <w:rPr>
          <w:rFonts w:ascii="Times New Roman" w:eastAsia="Times New Roman" w:hAnsi="Times New Roman" w:cs="Times New Roman"/>
          <w:kern w:val="0"/>
          <w:sz w:val="28"/>
          <w:szCs w:val="28"/>
          <w:lang w:val="vi-VN"/>
          <w14:ligatures w14:val="none"/>
        </w:rPr>
        <w:t>rút ngắn được quy trình xác định giá đất cụ thể</w:t>
      </w:r>
    </w:p>
    <w:p w14:paraId="4696EF03"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kern w:val="0"/>
          <w:sz w:val="28"/>
          <w:szCs w:val="28"/>
          <w:lang w:val="vi-VN" w:eastAsia="vi-VN"/>
          <w14:ligatures w14:val="none"/>
        </w:rPr>
        <w:t xml:space="preserve"> Bảng giá đất điều chỉnh việc tính giá khởi điểm để đấu giá quyền sử </w:t>
      </w:r>
      <w:r w:rsidRPr="00371976">
        <w:rPr>
          <w:rFonts w:ascii="Times New Roman" w:eastAsia="Courier New" w:hAnsi="Times New Roman" w:cs="Times New Roman"/>
          <w:kern w:val="0"/>
          <w:sz w:val="28"/>
          <w:szCs w:val="28"/>
          <w:lang w:val="vi-VN" w:eastAsia="vi-VN"/>
          <w14:ligatures w14:val="none"/>
        </w:rPr>
        <w:lastRenderedPageBreak/>
        <w:t>dụng đất cho các thửa đất, khu đất đã được đầu tư hạ tầng kỹ thuật theo quy hoạch chi tiết xây dựng có cập nhật đầy đủ phù hợp với tình hình thực tế, mặt bằng giá đất trên địa bàn Thành phố Hồ Chí Minh.</w:t>
      </w:r>
    </w:p>
    <w:p w14:paraId="275C17FD"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b/>
          <w:bCs/>
          <w:kern w:val="0"/>
          <w:sz w:val="28"/>
          <w:szCs w:val="28"/>
          <w:lang w:val="vi-VN" w:eastAsia="vi-VN"/>
          <w14:ligatures w14:val="none"/>
        </w:rPr>
        <w:t>1.11.</w:t>
      </w:r>
      <w:r w:rsidRPr="00371976">
        <w:rPr>
          <w:rFonts w:ascii="Times New Roman" w:eastAsia="Courier New" w:hAnsi="Times New Roman" w:cs="Times New Roman"/>
          <w:kern w:val="0"/>
          <w:sz w:val="28"/>
          <w:szCs w:val="28"/>
          <w:lang w:val="vi-VN" w:eastAsia="vi-VN"/>
          <w14:ligatures w14:val="none"/>
        </w:rPr>
        <w:t xml:space="preserve"> </w:t>
      </w:r>
      <w:r w:rsidRPr="00371976">
        <w:rPr>
          <w:rFonts w:ascii="Times New Roman" w:eastAsia="Courier New" w:hAnsi="Times New Roman" w:cs="Times New Roman"/>
          <w:b/>
          <w:bCs/>
          <w:kern w:val="0"/>
          <w:sz w:val="28"/>
          <w:szCs w:val="28"/>
          <w:lang w:val="vi-VN" w:eastAsia="vi-VN"/>
          <w14:ligatures w14:val="none"/>
        </w:rPr>
        <w:t>Tính tiền sử dụng đất đối với trường hợp giao đất không thông qua đấu giá quyền sử dụng đất cho hộ gia đình, cá nhân</w:t>
      </w:r>
      <w:r w:rsidRPr="00371976">
        <w:rPr>
          <w:rFonts w:ascii="Times New Roman" w:eastAsia="Courier New" w:hAnsi="Times New Roman" w:cs="Times New Roman"/>
          <w:kern w:val="0"/>
          <w:sz w:val="28"/>
          <w:szCs w:val="28"/>
          <w:lang w:val="vi-VN" w:eastAsia="vi-VN"/>
          <w14:ligatures w14:val="none"/>
        </w:rPr>
        <w:t xml:space="preserve">. </w:t>
      </w:r>
    </w:p>
    <w:p w14:paraId="13110CD8"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kern w:val="0"/>
          <w:sz w:val="28"/>
          <w:szCs w:val="28"/>
          <w:lang w:val="vi-VN" w:eastAsia="vi-VN"/>
          <w14:ligatures w14:val="none"/>
        </w:rPr>
        <w:t>Bảng giá đất điều chỉnh có ảnh hưởng đến trường hợp giao đất không thông qua đấu giá quyền sử dụng đất cho hộ gia đình, cá nhân.</w:t>
      </w:r>
    </w:p>
    <w:p w14:paraId="10267C55"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i/>
          <w:iCs/>
          <w:kern w:val="0"/>
          <w:sz w:val="28"/>
          <w:szCs w:val="28"/>
          <w:lang w:val="vi-VN" w:eastAsia="vi-VN"/>
          <w14:ligatures w14:val="none"/>
        </w:rPr>
      </w:pPr>
      <w:r w:rsidRPr="00371976">
        <w:rPr>
          <w:rFonts w:ascii="Times New Roman" w:eastAsia="Courier New" w:hAnsi="Times New Roman" w:cs="Times New Roman"/>
          <w:kern w:val="0"/>
          <w:sz w:val="28"/>
          <w:szCs w:val="28"/>
          <w:lang w:val="vi-VN" w:eastAsia="vi-VN"/>
          <w14:ligatures w14:val="none"/>
        </w:rPr>
        <w:t xml:space="preserve">Tuy nhiên, tác động này tạo sự công bằng cho các đối tượng sử dụng đất, đó là, theo quy định tại Luật Đất đai năm 2013 thì người thu hồi đất được bố trí tại định cư thì giá bố trí tái định cư được xác định theo giá đất cụ thể (giá thị trường) nay theo quy định tại khoản 3 Điều 111 Luật Đất đai năm 2024 thì tính theo bảng giá. Do đó, người được bố trí tái định cư sau này hoặc người sử dụng đất khi được giao đất không thông qua hình thức đấu giá quyền sử dụng đất  tại tuyến đường này cũng phải tương ứng với mức giá nêu trên, việc này sẽ bảo đảm hài hòa lợi ích giữa Nhà nước, người sử dụng đất và nhà đầu tư theo quy định tại điểm đ, khoản 1, Điều 158, Luật Đất đai năm 2024 </w:t>
      </w:r>
      <w:r w:rsidRPr="00371976">
        <w:rPr>
          <w:rFonts w:ascii="Times New Roman" w:eastAsia="Courier New" w:hAnsi="Times New Roman" w:cs="Times New Roman"/>
          <w:i/>
          <w:iCs/>
          <w:kern w:val="0"/>
          <w:sz w:val="28"/>
          <w:szCs w:val="28"/>
          <w:lang w:val="vi-VN" w:eastAsia="vi-VN"/>
          <w14:ligatures w14:val="none"/>
        </w:rPr>
        <w:t xml:space="preserve">“1. Việc xác định giá đất phải đảm bảo các nguyên tắc sau đây:.....đ) </w:t>
      </w:r>
      <w:r w:rsidRPr="00371976">
        <w:rPr>
          <w:rFonts w:ascii="Times New Roman" w:eastAsia="Courier New" w:hAnsi="Times New Roman" w:cs="Times New Roman"/>
          <w:b/>
          <w:i/>
          <w:iCs/>
          <w:kern w:val="0"/>
          <w:sz w:val="28"/>
          <w:szCs w:val="28"/>
          <w:lang w:val="vi-VN" w:eastAsia="vi-VN"/>
          <w14:ligatures w14:val="none"/>
        </w:rPr>
        <w:t>Bảo đảm hài hòa lợi ích giữa Nhà nước, người sử dụng đất và nhà đầu tư</w:t>
      </w:r>
      <w:r w:rsidRPr="00371976">
        <w:rPr>
          <w:rFonts w:ascii="Times New Roman" w:eastAsia="Courier New" w:hAnsi="Times New Roman" w:cs="Times New Roman"/>
          <w:i/>
          <w:iCs/>
          <w:kern w:val="0"/>
          <w:sz w:val="28"/>
          <w:szCs w:val="28"/>
          <w:lang w:val="vi-VN" w:eastAsia="vi-VN"/>
          <w14:ligatures w14:val="none"/>
        </w:rPr>
        <w:t>”.</w:t>
      </w:r>
    </w:p>
    <w:p w14:paraId="2F7C95C2"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kern w:val="0"/>
          <w:sz w:val="28"/>
          <w:szCs w:val="28"/>
          <w:lang w:val="vi-VN" w:eastAsia="vi-VN"/>
          <w14:ligatures w14:val="none"/>
        </w:rPr>
        <w:t xml:space="preserve">Các hộ nghèo, gia đình chính sách đã có chế độ </w:t>
      </w:r>
      <w:r w:rsidRPr="00371976">
        <w:rPr>
          <w:rFonts w:ascii="Times New Roman" w:eastAsia="Courier New" w:hAnsi="Times New Roman" w:cs="Times New Roman"/>
          <w:b/>
          <w:kern w:val="0"/>
          <w:sz w:val="28"/>
          <w:szCs w:val="28"/>
          <w:lang w:val="vi-VN" w:eastAsia="vi-VN"/>
          <w14:ligatures w14:val="none"/>
        </w:rPr>
        <w:t>miễn, giảm</w:t>
      </w:r>
      <w:r w:rsidRPr="00371976">
        <w:rPr>
          <w:rFonts w:ascii="Times New Roman" w:eastAsia="Courier New" w:hAnsi="Times New Roman" w:cs="Times New Roman"/>
          <w:kern w:val="0"/>
          <w:sz w:val="28"/>
          <w:szCs w:val="28"/>
          <w:lang w:val="vi-VN" w:eastAsia="vi-VN"/>
          <w14:ligatures w14:val="none"/>
        </w:rPr>
        <w:t xml:space="preserve"> tiền sử dụng đất khi đáp ứng các điều kiện theo quy định tại </w:t>
      </w:r>
      <w:r w:rsidRPr="00371976">
        <w:rPr>
          <w:rFonts w:ascii="Times New Roman" w:eastAsia="Courier New" w:hAnsi="Times New Roman" w:cs="Times New Roman"/>
          <w:kern w:val="0"/>
          <w:sz w:val="28"/>
          <w:szCs w:val="28"/>
          <w:lang w:val="sv-SE" w:eastAsia="vi-VN"/>
          <w14:ligatures w14:val="none"/>
        </w:rPr>
        <w:t>Nghị định số 103/2024/NĐ-CP và Nghị định 291/2024/NĐ-CP của Chính phủ</w:t>
      </w:r>
      <w:r w:rsidRPr="00371976">
        <w:rPr>
          <w:rFonts w:ascii="Times New Roman" w:eastAsia="Courier New" w:hAnsi="Times New Roman" w:cs="Times New Roman"/>
          <w:kern w:val="0"/>
          <w:sz w:val="28"/>
          <w:szCs w:val="28"/>
          <w:lang w:val="vi-VN" w:eastAsia="vi-VN"/>
          <w14:ligatures w14:val="none"/>
        </w:rPr>
        <w:t xml:space="preserve"> quy định về thu tiền sử dụng đất, tiền thuê đất.</w:t>
      </w:r>
    </w:p>
    <w:p w14:paraId="5989F4E3"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b/>
          <w:bCs/>
          <w:kern w:val="0"/>
          <w:sz w:val="28"/>
          <w:szCs w:val="28"/>
          <w:lang w:val="vi-VN" w:eastAsia="vi-VN"/>
          <w14:ligatures w14:val="none"/>
        </w:rPr>
        <w:t>1.12.</w:t>
      </w:r>
      <w:r w:rsidRPr="00371976">
        <w:rPr>
          <w:rFonts w:ascii="Times New Roman" w:eastAsia="Courier New" w:hAnsi="Times New Roman" w:cs="Times New Roman"/>
          <w:kern w:val="0"/>
          <w:sz w:val="28"/>
          <w:szCs w:val="28"/>
          <w:lang w:val="vi-VN" w:eastAsia="vi-VN"/>
          <w14:ligatures w14:val="none"/>
        </w:rPr>
        <w:t xml:space="preserve"> </w:t>
      </w:r>
      <w:r w:rsidRPr="00371976">
        <w:rPr>
          <w:rFonts w:ascii="Times New Roman" w:eastAsia="Courier New" w:hAnsi="Times New Roman" w:cs="Times New Roman"/>
          <w:b/>
          <w:bCs/>
          <w:kern w:val="0"/>
          <w:sz w:val="28"/>
          <w:szCs w:val="28"/>
          <w:lang w:val="vi-VN" w:eastAsia="vi-VN"/>
          <w14:ligatures w14:val="none"/>
        </w:rPr>
        <w:t>Tính tiền sử dụng đất đối với trường hợp bán nhà ở thuộc sở hữu nhà nước cho người đang thuê</w:t>
      </w:r>
      <w:r w:rsidRPr="00371976">
        <w:rPr>
          <w:rFonts w:ascii="Times New Roman" w:eastAsia="Courier New" w:hAnsi="Times New Roman" w:cs="Times New Roman"/>
          <w:kern w:val="0"/>
          <w:sz w:val="28"/>
          <w:szCs w:val="28"/>
          <w:lang w:val="vi-VN" w:eastAsia="vi-VN"/>
          <w14:ligatures w14:val="none"/>
        </w:rPr>
        <w:t xml:space="preserve">. </w:t>
      </w:r>
    </w:p>
    <w:p w14:paraId="1C849843" w14:textId="77777777" w:rsidR="00371976" w:rsidRPr="00371976" w:rsidRDefault="00371976" w:rsidP="00371976">
      <w:pPr>
        <w:widowControl w:val="0"/>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kern w:val="0"/>
          <w:sz w:val="28"/>
          <w:szCs w:val="28"/>
          <w:lang w:val="vi-VN" w:eastAsia="vi-VN"/>
          <w14:ligatures w14:val="none"/>
        </w:rPr>
        <w:t>Bảng giá đất điều chỉnh có ảnh hưởng đến việc tính tiền sử dụng đất đối với trường hợp bán nhà ở thuộc sở hữu nhà nước cho người đang thuê nhưng cập nhật đầy đủ phù hợp với tình hình thực tế, mặt bằng giá đất trên địa bàn Thành phố Hồ Chí Minh.</w:t>
      </w:r>
    </w:p>
    <w:p w14:paraId="5B5B876A" w14:textId="58112397" w:rsidR="00371976" w:rsidRPr="00371976" w:rsidRDefault="00371976" w:rsidP="00371976">
      <w:pPr>
        <w:pStyle w:val="ListParagraph"/>
        <w:widowControl w:val="0"/>
        <w:numPr>
          <w:ilvl w:val="0"/>
          <w:numId w:val="2"/>
        </w:numPr>
        <w:tabs>
          <w:tab w:val="left" w:pos="887"/>
        </w:tabs>
        <w:autoSpaceDE w:val="0"/>
        <w:autoSpaceDN w:val="0"/>
        <w:spacing w:before="120" w:after="120" w:line="240" w:lineRule="auto"/>
        <w:jc w:val="both"/>
        <w:outlineLvl w:val="1"/>
        <w:rPr>
          <w:rFonts w:ascii="Times New Roman" w:eastAsia="Times New Roman" w:hAnsi="Times New Roman" w:cs="Times New Roman"/>
          <w:b/>
          <w:bCs/>
          <w:kern w:val="0"/>
          <w:sz w:val="28"/>
          <w:szCs w:val="28"/>
          <w:lang w:val="vi-VN"/>
          <w14:ligatures w14:val="none"/>
        </w:rPr>
      </w:pPr>
      <w:r w:rsidRPr="00371976">
        <w:rPr>
          <w:rFonts w:ascii="Times New Roman" w:eastAsia="Times New Roman" w:hAnsi="Times New Roman" w:cs="Times New Roman"/>
          <w:b/>
          <w:bCs/>
          <w:kern w:val="0"/>
          <w:sz w:val="28"/>
          <w:szCs w:val="28"/>
          <w:lang w:val="vi-VN"/>
          <w14:ligatures w14:val="none"/>
        </w:rPr>
        <w:t>Đối</w:t>
      </w:r>
      <w:r w:rsidRPr="00371976">
        <w:rPr>
          <w:rFonts w:ascii="Times New Roman" w:eastAsia="Times New Roman" w:hAnsi="Times New Roman" w:cs="Times New Roman"/>
          <w:b/>
          <w:bCs/>
          <w:spacing w:val="-7"/>
          <w:kern w:val="0"/>
          <w:sz w:val="28"/>
          <w:szCs w:val="28"/>
          <w:lang w:val="vi-VN"/>
          <w14:ligatures w14:val="none"/>
        </w:rPr>
        <w:t xml:space="preserve"> </w:t>
      </w:r>
      <w:r w:rsidRPr="00371976">
        <w:rPr>
          <w:rFonts w:ascii="Times New Roman" w:eastAsia="Times New Roman" w:hAnsi="Times New Roman" w:cs="Times New Roman"/>
          <w:b/>
          <w:bCs/>
          <w:kern w:val="0"/>
          <w:sz w:val="28"/>
          <w:szCs w:val="28"/>
          <w:lang w:val="vi-VN"/>
          <w14:ligatures w14:val="none"/>
        </w:rPr>
        <w:t>với</w:t>
      </w:r>
      <w:r w:rsidRPr="00371976">
        <w:rPr>
          <w:rFonts w:ascii="Times New Roman" w:eastAsia="Times New Roman" w:hAnsi="Times New Roman" w:cs="Times New Roman"/>
          <w:b/>
          <w:bCs/>
          <w:spacing w:val="-6"/>
          <w:kern w:val="0"/>
          <w:sz w:val="28"/>
          <w:szCs w:val="28"/>
          <w:lang w:val="vi-VN"/>
          <w14:ligatures w14:val="none"/>
        </w:rPr>
        <w:t xml:space="preserve"> </w:t>
      </w:r>
      <w:r w:rsidRPr="00371976">
        <w:rPr>
          <w:rFonts w:ascii="Times New Roman" w:eastAsia="Times New Roman" w:hAnsi="Times New Roman" w:cs="Times New Roman"/>
          <w:b/>
          <w:bCs/>
          <w:kern w:val="0"/>
          <w:sz w:val="28"/>
          <w:szCs w:val="28"/>
          <w:lang w:val="vi-VN"/>
          <w14:ligatures w14:val="none"/>
        </w:rPr>
        <w:t>các</w:t>
      </w:r>
      <w:r w:rsidRPr="00371976">
        <w:rPr>
          <w:rFonts w:ascii="Times New Roman" w:eastAsia="Times New Roman" w:hAnsi="Times New Roman" w:cs="Times New Roman"/>
          <w:b/>
          <w:bCs/>
          <w:spacing w:val="-5"/>
          <w:kern w:val="0"/>
          <w:sz w:val="28"/>
          <w:szCs w:val="28"/>
          <w:lang w:val="vi-VN"/>
          <w14:ligatures w14:val="none"/>
        </w:rPr>
        <w:t xml:space="preserve"> </w:t>
      </w:r>
      <w:r w:rsidRPr="00371976">
        <w:rPr>
          <w:rFonts w:ascii="Times New Roman" w:eastAsia="Times New Roman" w:hAnsi="Times New Roman" w:cs="Times New Roman"/>
          <w:b/>
          <w:bCs/>
          <w:kern w:val="0"/>
          <w:sz w:val="28"/>
          <w:szCs w:val="28"/>
          <w:lang w:val="vi-VN"/>
          <w14:ligatures w14:val="none"/>
        </w:rPr>
        <w:t>doanh</w:t>
      </w:r>
      <w:r w:rsidRPr="00371976">
        <w:rPr>
          <w:rFonts w:ascii="Times New Roman" w:eastAsia="Times New Roman" w:hAnsi="Times New Roman" w:cs="Times New Roman"/>
          <w:b/>
          <w:bCs/>
          <w:spacing w:val="-7"/>
          <w:kern w:val="0"/>
          <w:sz w:val="28"/>
          <w:szCs w:val="28"/>
          <w:lang w:val="vi-VN"/>
          <w14:ligatures w14:val="none"/>
        </w:rPr>
        <w:t xml:space="preserve"> </w:t>
      </w:r>
      <w:r w:rsidRPr="00371976">
        <w:rPr>
          <w:rFonts w:ascii="Times New Roman" w:eastAsia="Times New Roman" w:hAnsi="Times New Roman" w:cs="Times New Roman"/>
          <w:b/>
          <w:bCs/>
          <w:kern w:val="0"/>
          <w:sz w:val="28"/>
          <w:szCs w:val="28"/>
          <w:lang w:val="vi-VN"/>
          <w14:ligatures w14:val="none"/>
        </w:rPr>
        <w:t>nghiệp</w:t>
      </w:r>
      <w:r w:rsidRPr="00371976">
        <w:rPr>
          <w:rFonts w:ascii="Times New Roman" w:eastAsia="Times New Roman" w:hAnsi="Times New Roman" w:cs="Times New Roman"/>
          <w:b/>
          <w:bCs/>
          <w:spacing w:val="-6"/>
          <w:kern w:val="0"/>
          <w:sz w:val="28"/>
          <w:szCs w:val="28"/>
          <w:lang w:val="vi-VN"/>
          <w14:ligatures w14:val="none"/>
        </w:rPr>
        <w:t xml:space="preserve"> </w:t>
      </w:r>
      <w:r w:rsidRPr="00371976">
        <w:rPr>
          <w:rFonts w:ascii="Times New Roman" w:eastAsia="Times New Roman" w:hAnsi="Times New Roman" w:cs="Times New Roman"/>
          <w:b/>
          <w:bCs/>
          <w:kern w:val="0"/>
          <w:sz w:val="28"/>
          <w:szCs w:val="28"/>
          <w:lang w:val="vi-VN"/>
          <w14:ligatures w14:val="none"/>
        </w:rPr>
        <w:t>kinh</w:t>
      </w:r>
      <w:r w:rsidRPr="00371976">
        <w:rPr>
          <w:rFonts w:ascii="Times New Roman" w:eastAsia="Times New Roman" w:hAnsi="Times New Roman" w:cs="Times New Roman"/>
          <w:b/>
          <w:bCs/>
          <w:spacing w:val="-7"/>
          <w:kern w:val="0"/>
          <w:sz w:val="28"/>
          <w:szCs w:val="28"/>
          <w:lang w:val="vi-VN"/>
          <w14:ligatures w14:val="none"/>
        </w:rPr>
        <w:t xml:space="preserve"> </w:t>
      </w:r>
      <w:r w:rsidRPr="00371976">
        <w:rPr>
          <w:rFonts w:ascii="Times New Roman" w:eastAsia="Times New Roman" w:hAnsi="Times New Roman" w:cs="Times New Roman"/>
          <w:b/>
          <w:bCs/>
          <w:kern w:val="0"/>
          <w:sz w:val="28"/>
          <w:szCs w:val="28"/>
          <w:lang w:val="vi-VN"/>
          <w14:ligatures w14:val="none"/>
        </w:rPr>
        <w:t>doanh</w:t>
      </w:r>
      <w:r w:rsidRPr="00371976">
        <w:rPr>
          <w:rFonts w:ascii="Times New Roman" w:eastAsia="Times New Roman" w:hAnsi="Times New Roman" w:cs="Times New Roman"/>
          <w:b/>
          <w:bCs/>
          <w:spacing w:val="-6"/>
          <w:kern w:val="0"/>
          <w:sz w:val="28"/>
          <w:szCs w:val="28"/>
          <w:lang w:val="vi-VN"/>
          <w14:ligatures w14:val="none"/>
        </w:rPr>
        <w:t xml:space="preserve"> </w:t>
      </w:r>
      <w:r w:rsidRPr="00371976">
        <w:rPr>
          <w:rFonts w:ascii="Times New Roman" w:eastAsia="Times New Roman" w:hAnsi="Times New Roman" w:cs="Times New Roman"/>
          <w:b/>
          <w:bCs/>
          <w:kern w:val="0"/>
          <w:sz w:val="28"/>
          <w:szCs w:val="28"/>
          <w:lang w:val="vi-VN"/>
          <w14:ligatures w14:val="none"/>
        </w:rPr>
        <w:t>bất</w:t>
      </w:r>
      <w:r w:rsidRPr="00371976">
        <w:rPr>
          <w:rFonts w:ascii="Times New Roman" w:eastAsia="Times New Roman" w:hAnsi="Times New Roman" w:cs="Times New Roman"/>
          <w:b/>
          <w:bCs/>
          <w:spacing w:val="-7"/>
          <w:kern w:val="0"/>
          <w:sz w:val="28"/>
          <w:szCs w:val="28"/>
          <w:lang w:val="vi-VN"/>
          <w14:ligatures w14:val="none"/>
        </w:rPr>
        <w:t xml:space="preserve"> </w:t>
      </w:r>
      <w:r w:rsidRPr="00371976">
        <w:rPr>
          <w:rFonts w:ascii="Times New Roman" w:eastAsia="Times New Roman" w:hAnsi="Times New Roman" w:cs="Times New Roman"/>
          <w:b/>
          <w:bCs/>
          <w:kern w:val="0"/>
          <w:sz w:val="28"/>
          <w:szCs w:val="28"/>
          <w:lang w:val="vi-VN"/>
          <w14:ligatures w14:val="none"/>
        </w:rPr>
        <w:t>động</w:t>
      </w:r>
      <w:r w:rsidRPr="00371976">
        <w:rPr>
          <w:rFonts w:ascii="Times New Roman" w:eastAsia="Times New Roman" w:hAnsi="Times New Roman" w:cs="Times New Roman"/>
          <w:b/>
          <w:bCs/>
          <w:spacing w:val="-6"/>
          <w:kern w:val="0"/>
          <w:sz w:val="28"/>
          <w:szCs w:val="28"/>
          <w:lang w:val="vi-VN"/>
          <w14:ligatures w14:val="none"/>
        </w:rPr>
        <w:t xml:space="preserve"> </w:t>
      </w:r>
      <w:r w:rsidRPr="00371976">
        <w:rPr>
          <w:rFonts w:ascii="Times New Roman" w:eastAsia="Times New Roman" w:hAnsi="Times New Roman" w:cs="Times New Roman"/>
          <w:b/>
          <w:bCs/>
          <w:spacing w:val="-5"/>
          <w:kern w:val="0"/>
          <w:sz w:val="28"/>
          <w:szCs w:val="28"/>
          <w:lang w:val="vi-VN"/>
          <w14:ligatures w14:val="none"/>
        </w:rPr>
        <w:t>sản</w:t>
      </w:r>
    </w:p>
    <w:p w14:paraId="6166D6B5" w14:textId="77777777" w:rsidR="00371976" w:rsidRPr="00371976" w:rsidRDefault="00371976" w:rsidP="00371976">
      <w:pPr>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kern w:val="0"/>
          <w:sz w:val="28"/>
          <w:szCs w:val="28"/>
          <w:lang w:val="vi-VN" w:eastAsia="vi-VN"/>
          <w14:ligatures w14:val="none"/>
        </w:rPr>
        <w:t>Việc xây dựng bảng giá đất không gây ảnh hưởng đến các doanh nghiệp kinh doanh bất động sản do tiền sử dụng đất các dự án bất động sản được xác định bằng phương pháp thặng dư. Do đó, kết quả xác định giá trị quyền sử dụng đất theo phương pháp thặng dư dù cao hay thấp hơn giá đất tại Bảng giá đất cũng không phải điều chỉnh theo giá đất tại Bảng giá đất theo quy định tại khoản 8 Điều 158 Luật Đất đai năm 2024 (sử dụng kết quả xác định được theo phương pháp thặng dư).</w:t>
      </w:r>
    </w:p>
    <w:p w14:paraId="4147B87E" w14:textId="77777777" w:rsidR="00371976" w:rsidRPr="00371976" w:rsidRDefault="00371976" w:rsidP="00371976">
      <w:pPr>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kern w:val="0"/>
          <w:sz w:val="28"/>
          <w:szCs w:val="28"/>
          <w:lang w:val="vi-VN" w:eastAsia="vi-VN"/>
          <w14:ligatures w14:val="none"/>
        </w:rPr>
        <w:t xml:space="preserve">Thị trường bất động sản hoạt động theo nguyên tắc cung cầu (nguyên tắc thị trường), do đó, chi phí đầu vào để tạo ra bất động sản (sản phẩm) được hoạch toán trên cơ sở giá cả thị trường chẳng hạn chí phí đầu vào là đất thì doanh nghiệp kinh doanh bất động sản cũng phải thỏa thuận với người sử </w:t>
      </w:r>
      <w:r w:rsidRPr="00371976">
        <w:rPr>
          <w:rFonts w:ascii="Times New Roman" w:eastAsia="Courier New" w:hAnsi="Times New Roman" w:cs="Times New Roman"/>
          <w:kern w:val="0"/>
          <w:sz w:val="28"/>
          <w:szCs w:val="28"/>
          <w:lang w:val="vi-VN" w:eastAsia="vi-VN"/>
          <w14:ligatures w14:val="none"/>
        </w:rPr>
        <w:lastRenderedPageBreak/>
        <w:t>dụng đất hoặc đất được giao, chuyển mục đích sử dụng đất thì các cơ quan Nhà nước xác định giá đất cụ thể - giá thị trường để doanh nghiệp nộp tiền sử dụng đất, mặt khác theo quy định tại khoản 8, Điều 158, Luật Đất đai năm 2024 thì khi áp dụng phương pháp thặng dư để xác định giá đất thì giá đất không bị ràng buộc bởi bảng giá đất (hầu hết các dự án kinh doanh bất động sản, khi xác định giá đất đều áp dụng phương pháp thặng dư) nên, việc xây dựng bảng giá đất theo giá đất thực tế tại địa phương không ảnh hưởng đến chi phí đầu vào của thị trường bất động sản, còn sản phẩm đầu ra được hoạt động theo nguyên tắc cung - cầu, do đó, việc xây dựng bảng giá đất theo giá thực tế tại địa phương không ảnh hưởng đến thị trường bất động sản.</w:t>
      </w:r>
    </w:p>
    <w:p w14:paraId="777D9256" w14:textId="77777777" w:rsidR="00371976" w:rsidRPr="00371976" w:rsidRDefault="00371976" w:rsidP="00371976">
      <w:pPr>
        <w:widowControl w:val="0"/>
        <w:numPr>
          <w:ilvl w:val="0"/>
          <w:numId w:val="1"/>
        </w:numPr>
        <w:tabs>
          <w:tab w:val="left" w:pos="887"/>
        </w:tabs>
        <w:autoSpaceDE w:val="0"/>
        <w:autoSpaceDN w:val="0"/>
        <w:spacing w:before="120" w:after="120" w:line="240" w:lineRule="auto"/>
        <w:ind w:left="0" w:firstLine="567"/>
        <w:jc w:val="both"/>
        <w:outlineLvl w:val="1"/>
        <w:rPr>
          <w:rFonts w:ascii="Times New Roman" w:eastAsia="Times New Roman" w:hAnsi="Times New Roman" w:cs="Times New Roman"/>
          <w:b/>
          <w:bCs/>
          <w:kern w:val="0"/>
          <w:sz w:val="28"/>
          <w:szCs w:val="28"/>
          <w:lang w:val="vi-VN"/>
          <w14:ligatures w14:val="none"/>
        </w:rPr>
      </w:pPr>
      <w:r w:rsidRPr="00371976">
        <w:rPr>
          <w:rFonts w:ascii="Times New Roman" w:eastAsia="Times New Roman" w:hAnsi="Times New Roman" w:cs="Times New Roman"/>
          <w:b/>
          <w:bCs/>
          <w:kern w:val="0"/>
          <w:sz w:val="28"/>
          <w:szCs w:val="28"/>
          <w:lang w:val="vi-VN"/>
          <w14:ligatures w14:val="none"/>
        </w:rPr>
        <w:t>Đối</w:t>
      </w:r>
      <w:r w:rsidRPr="00371976">
        <w:rPr>
          <w:rFonts w:ascii="Times New Roman" w:eastAsia="Times New Roman" w:hAnsi="Times New Roman" w:cs="Times New Roman"/>
          <w:b/>
          <w:bCs/>
          <w:spacing w:val="-6"/>
          <w:kern w:val="0"/>
          <w:sz w:val="28"/>
          <w:szCs w:val="28"/>
          <w:lang w:val="vi-VN"/>
          <w14:ligatures w14:val="none"/>
        </w:rPr>
        <w:t xml:space="preserve"> </w:t>
      </w:r>
      <w:r w:rsidRPr="00371976">
        <w:rPr>
          <w:rFonts w:ascii="Times New Roman" w:eastAsia="Times New Roman" w:hAnsi="Times New Roman" w:cs="Times New Roman"/>
          <w:b/>
          <w:bCs/>
          <w:kern w:val="0"/>
          <w:sz w:val="28"/>
          <w:szCs w:val="28"/>
          <w:lang w:val="vi-VN"/>
          <w14:ligatures w14:val="none"/>
        </w:rPr>
        <w:t>với</w:t>
      </w:r>
      <w:r w:rsidRPr="00371976">
        <w:rPr>
          <w:rFonts w:ascii="Times New Roman" w:eastAsia="Times New Roman" w:hAnsi="Times New Roman" w:cs="Times New Roman"/>
          <w:b/>
          <w:bCs/>
          <w:spacing w:val="-5"/>
          <w:kern w:val="0"/>
          <w:sz w:val="28"/>
          <w:szCs w:val="28"/>
          <w:lang w:val="vi-VN"/>
          <w14:ligatures w14:val="none"/>
        </w:rPr>
        <w:t xml:space="preserve"> </w:t>
      </w:r>
      <w:r w:rsidRPr="00371976">
        <w:rPr>
          <w:rFonts w:ascii="Times New Roman" w:eastAsia="Times New Roman" w:hAnsi="Times New Roman" w:cs="Times New Roman"/>
          <w:b/>
          <w:bCs/>
          <w:kern w:val="0"/>
          <w:sz w:val="28"/>
          <w:szCs w:val="28"/>
          <w:lang w:val="vi-VN"/>
          <w14:ligatures w14:val="none"/>
        </w:rPr>
        <w:t>các</w:t>
      </w:r>
      <w:r w:rsidRPr="00371976">
        <w:rPr>
          <w:rFonts w:ascii="Times New Roman" w:eastAsia="Times New Roman" w:hAnsi="Times New Roman" w:cs="Times New Roman"/>
          <w:b/>
          <w:bCs/>
          <w:spacing w:val="-5"/>
          <w:kern w:val="0"/>
          <w:sz w:val="28"/>
          <w:szCs w:val="28"/>
          <w:lang w:val="vi-VN"/>
          <w14:ligatures w14:val="none"/>
        </w:rPr>
        <w:t xml:space="preserve"> </w:t>
      </w:r>
      <w:r w:rsidRPr="00371976">
        <w:rPr>
          <w:rFonts w:ascii="Times New Roman" w:eastAsia="Times New Roman" w:hAnsi="Times New Roman" w:cs="Times New Roman"/>
          <w:b/>
          <w:bCs/>
          <w:kern w:val="0"/>
          <w:sz w:val="28"/>
          <w:szCs w:val="28"/>
          <w:lang w:val="vi-VN"/>
          <w14:ligatures w14:val="none"/>
        </w:rPr>
        <w:t>doanh</w:t>
      </w:r>
      <w:r w:rsidRPr="00371976">
        <w:rPr>
          <w:rFonts w:ascii="Times New Roman" w:eastAsia="Times New Roman" w:hAnsi="Times New Roman" w:cs="Times New Roman"/>
          <w:b/>
          <w:bCs/>
          <w:spacing w:val="-6"/>
          <w:kern w:val="0"/>
          <w:sz w:val="28"/>
          <w:szCs w:val="28"/>
          <w:lang w:val="vi-VN"/>
          <w14:ligatures w14:val="none"/>
        </w:rPr>
        <w:t xml:space="preserve"> </w:t>
      </w:r>
      <w:r w:rsidRPr="00371976">
        <w:rPr>
          <w:rFonts w:ascii="Times New Roman" w:eastAsia="Times New Roman" w:hAnsi="Times New Roman" w:cs="Times New Roman"/>
          <w:b/>
          <w:bCs/>
          <w:kern w:val="0"/>
          <w:sz w:val="28"/>
          <w:szCs w:val="28"/>
          <w:lang w:val="vi-VN"/>
          <w14:ligatures w14:val="none"/>
        </w:rPr>
        <w:t>nghiệp</w:t>
      </w:r>
      <w:r w:rsidRPr="00371976">
        <w:rPr>
          <w:rFonts w:ascii="Times New Roman" w:eastAsia="Times New Roman" w:hAnsi="Times New Roman" w:cs="Times New Roman"/>
          <w:b/>
          <w:bCs/>
          <w:spacing w:val="-5"/>
          <w:kern w:val="0"/>
          <w:sz w:val="28"/>
          <w:szCs w:val="28"/>
          <w:lang w:val="vi-VN"/>
          <w14:ligatures w14:val="none"/>
        </w:rPr>
        <w:t xml:space="preserve"> </w:t>
      </w:r>
      <w:r w:rsidRPr="00371976">
        <w:rPr>
          <w:rFonts w:ascii="Times New Roman" w:eastAsia="Times New Roman" w:hAnsi="Times New Roman" w:cs="Times New Roman"/>
          <w:b/>
          <w:bCs/>
          <w:kern w:val="0"/>
          <w:sz w:val="28"/>
          <w:szCs w:val="28"/>
          <w:lang w:val="vi-VN"/>
          <w14:ligatures w14:val="none"/>
        </w:rPr>
        <w:t>sản</w:t>
      </w:r>
      <w:r w:rsidRPr="00371976">
        <w:rPr>
          <w:rFonts w:ascii="Times New Roman" w:eastAsia="Times New Roman" w:hAnsi="Times New Roman" w:cs="Times New Roman"/>
          <w:b/>
          <w:bCs/>
          <w:spacing w:val="-6"/>
          <w:kern w:val="0"/>
          <w:sz w:val="28"/>
          <w:szCs w:val="28"/>
          <w:lang w:val="vi-VN"/>
          <w14:ligatures w14:val="none"/>
        </w:rPr>
        <w:t xml:space="preserve"> </w:t>
      </w:r>
      <w:r w:rsidRPr="00371976">
        <w:rPr>
          <w:rFonts w:ascii="Times New Roman" w:eastAsia="Times New Roman" w:hAnsi="Times New Roman" w:cs="Times New Roman"/>
          <w:b/>
          <w:bCs/>
          <w:kern w:val="0"/>
          <w:sz w:val="28"/>
          <w:szCs w:val="28"/>
          <w:lang w:val="vi-VN"/>
          <w14:ligatures w14:val="none"/>
        </w:rPr>
        <w:t>xuất,</w:t>
      </w:r>
      <w:r w:rsidRPr="00371976">
        <w:rPr>
          <w:rFonts w:ascii="Times New Roman" w:eastAsia="Times New Roman" w:hAnsi="Times New Roman" w:cs="Times New Roman"/>
          <w:b/>
          <w:bCs/>
          <w:spacing w:val="-8"/>
          <w:kern w:val="0"/>
          <w:sz w:val="28"/>
          <w:szCs w:val="28"/>
          <w:lang w:val="vi-VN"/>
          <w14:ligatures w14:val="none"/>
        </w:rPr>
        <w:t xml:space="preserve"> </w:t>
      </w:r>
      <w:r w:rsidRPr="00371976">
        <w:rPr>
          <w:rFonts w:ascii="Times New Roman" w:eastAsia="Times New Roman" w:hAnsi="Times New Roman" w:cs="Times New Roman"/>
          <w:b/>
          <w:bCs/>
          <w:kern w:val="0"/>
          <w:sz w:val="28"/>
          <w:szCs w:val="28"/>
          <w:lang w:val="vi-VN"/>
          <w14:ligatures w14:val="none"/>
        </w:rPr>
        <w:t>kinh</w:t>
      </w:r>
      <w:r w:rsidRPr="00371976">
        <w:rPr>
          <w:rFonts w:ascii="Times New Roman" w:eastAsia="Times New Roman" w:hAnsi="Times New Roman" w:cs="Times New Roman"/>
          <w:b/>
          <w:bCs/>
          <w:spacing w:val="-5"/>
          <w:kern w:val="0"/>
          <w:sz w:val="28"/>
          <w:szCs w:val="28"/>
          <w:lang w:val="vi-VN"/>
          <w14:ligatures w14:val="none"/>
        </w:rPr>
        <w:t xml:space="preserve"> </w:t>
      </w:r>
      <w:r w:rsidRPr="00371976">
        <w:rPr>
          <w:rFonts w:ascii="Times New Roman" w:eastAsia="Times New Roman" w:hAnsi="Times New Roman" w:cs="Times New Roman"/>
          <w:b/>
          <w:bCs/>
          <w:spacing w:val="-2"/>
          <w:kern w:val="0"/>
          <w:sz w:val="28"/>
          <w:szCs w:val="28"/>
          <w:lang w:val="vi-VN"/>
          <w14:ligatures w14:val="none"/>
        </w:rPr>
        <w:t>doanh</w:t>
      </w:r>
    </w:p>
    <w:p w14:paraId="2763E1E8" w14:textId="77777777" w:rsidR="00371976" w:rsidRPr="00371976" w:rsidRDefault="00371976" w:rsidP="00371976">
      <w:pPr>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kern w:val="0"/>
          <w:sz w:val="28"/>
          <w:szCs w:val="28"/>
          <w:lang w:val="vi-VN" w:eastAsia="vi-VN"/>
          <w14:ligatures w14:val="none"/>
        </w:rPr>
        <w:t>Giá đất là một trong các khoản chi phí đầu vào của nền sản xuất, kinh doanh thương mại, dịch vụ, các chi phí này về nguyên tắc là chi phí theo giá cả thị trường. Do đó, trong 12 trường hợp áp dụng bảng giá đất thì có 02 trường hợp sẽ ảnh hưởng đến chi phí đầu vào của hoạt động sản xuất kinh doanh, đó là (i) Tính thuế sử dụng đất và (ii) Tính tiền thuê đất khi Nhà nước cho thuê đất thu tiền thuê đất hằng năm; nếu giá đất tăng thì các khoản thuế này sẽ tăng dẫn đến chi phí đầu vào của nền sản xuất sẽ tăng, do đó, phân tích 02 trường hợp trên để có đánh giá như sau:</w:t>
      </w:r>
    </w:p>
    <w:p w14:paraId="3DDE5414" w14:textId="77777777" w:rsidR="00371976" w:rsidRPr="00371976" w:rsidRDefault="00371976" w:rsidP="00371976">
      <w:pPr>
        <w:spacing w:before="120" w:after="120" w:line="240" w:lineRule="auto"/>
        <w:ind w:firstLine="567"/>
        <w:jc w:val="both"/>
        <w:rPr>
          <w:rFonts w:ascii="Times New Roman" w:eastAsia="Courier New" w:hAnsi="Times New Roman" w:cs="Times New Roman"/>
          <w:kern w:val="0"/>
          <w:sz w:val="28"/>
          <w:szCs w:val="28"/>
          <w:lang w:val="vi-VN" w:eastAsia="vi-VN"/>
          <w14:ligatures w14:val="none"/>
        </w:rPr>
      </w:pPr>
      <w:r w:rsidRPr="00371976">
        <w:rPr>
          <w:rFonts w:ascii="Times New Roman" w:eastAsia="Courier New" w:hAnsi="Times New Roman" w:cs="Times New Roman"/>
          <w:b/>
          <w:bCs/>
          <w:kern w:val="0"/>
          <w:sz w:val="28"/>
          <w:szCs w:val="28"/>
          <w:lang w:val="vi-VN" w:eastAsia="vi-VN"/>
          <w14:ligatures w14:val="none"/>
        </w:rPr>
        <w:t>Tính thuế sử dụng đất</w:t>
      </w:r>
      <w:r w:rsidRPr="00371976">
        <w:rPr>
          <w:rFonts w:ascii="Times New Roman" w:eastAsia="Courier New" w:hAnsi="Times New Roman" w:cs="Times New Roman"/>
          <w:kern w:val="0"/>
          <w:sz w:val="28"/>
          <w:szCs w:val="28"/>
          <w:lang w:val="vi-VN" w:eastAsia="vi-VN"/>
          <w14:ligatures w14:val="none"/>
        </w:rPr>
        <w:t>: Mức thu thuế sử dụng đất phi nông nghiệp trước đây được xác định theo công thức tính là 0,03% x giá tại Bảng giá đất x Diện tích đất trong hạn mức (diện tích ngoài hạn mức là 0,15%). Tuy nhiên, theo quy định tại khoản 3, Điều 6 Luật Thuế sử dụng đất phi nông nghiệp có hiệu lực ngày 01 tháng 01 năm 2012 thì bảng giá đất để tính thuế phi nông nghiệp ổn định 5 năm kể từ ngày 01 tháng 01 năm 2012. Tính đến nay, Bảng giá đất theo Quyết định số 02/2020/QĐ-UBND đang được áp dụng trong chu kỳ thứ 3 và sẽ kết thúc vào ngày 31 tháng 12 năm 2026 và đến ngày 01/01/2027 mới áp dụng bảng giá đất mới này cho chu kỳ 5 năm tiếp theo, do đó, Bảng giá đất điều chỉnh sẽ không ảnh hưởng đến thu thuế phi nông nghiệp từ nay đến hết năm 2026, các chi phí này vẫn giữ ổn định như trước đây nên không có tác động tiêu cực đến nền kinh tế của Thành phố.</w:t>
      </w:r>
    </w:p>
    <w:p w14:paraId="154C5218" w14:textId="77777777" w:rsidR="00371976" w:rsidRDefault="00371976" w:rsidP="00371976">
      <w:pPr>
        <w:spacing w:before="120" w:after="120" w:line="240" w:lineRule="auto"/>
        <w:ind w:firstLine="567"/>
        <w:jc w:val="both"/>
        <w:rPr>
          <w:rFonts w:ascii="Times New Roman" w:eastAsia="Courier New" w:hAnsi="Times New Roman" w:cs="Times New Roman"/>
          <w:kern w:val="0"/>
          <w:sz w:val="28"/>
          <w:szCs w:val="28"/>
          <w:lang w:eastAsia="vi-VN"/>
          <w14:ligatures w14:val="none"/>
        </w:rPr>
      </w:pPr>
      <w:r w:rsidRPr="00371976">
        <w:rPr>
          <w:rFonts w:ascii="Times New Roman" w:eastAsia="Courier New" w:hAnsi="Times New Roman" w:cs="Times New Roman"/>
          <w:b/>
          <w:bCs/>
          <w:kern w:val="0"/>
          <w:sz w:val="28"/>
          <w:szCs w:val="28"/>
          <w:lang w:val="vi-VN" w:eastAsia="vi-VN"/>
          <w14:ligatures w14:val="none"/>
        </w:rPr>
        <w:t>Tính tiền thuê đất khi Nhà nước cho thuê đất thu tiền thuê đất hằng năm</w:t>
      </w:r>
      <w:r w:rsidRPr="00371976">
        <w:rPr>
          <w:rFonts w:ascii="Times New Roman" w:eastAsia="Courier New" w:hAnsi="Times New Roman" w:cs="Times New Roman"/>
          <w:kern w:val="0"/>
          <w:sz w:val="28"/>
          <w:szCs w:val="28"/>
          <w:lang w:val="vi-VN" w:eastAsia="vi-VN"/>
          <w14:ligatures w14:val="none"/>
        </w:rPr>
        <w:t>: Nghị định số 103/2024/NĐ-CP ngày 30/7/2024 quy định về thu tiền sử dụng đất, tiền thuê đất thì đơn giá thuê đất được tính theo tỷ lệ % trên đơn giá đất từ 0,25% đến 3%, Hiện nay UBND Thành phố Hồ Chí Minh  đã ban hành Quyết định số 09/2025/QĐ-UBND ngày 20/01/2025 và UBND tỉnh Bình Dương cũ đã ban hành Quyết định số 64/2025/QĐ-UBND ngày 20/12/2024 Quy định mức tỷ lệ phần trăm (%) để tính đơn giá thuê đất, mức đơn giá thuê đất xây dựng công trình ngầm và mức đơn giá thuê đất đối với đất có mặt nước trên địa bàn tương ứng. Nên khi xây dựng bảng giá đất tăng lên, sẽ làm tăng tiền thuê đất hàng năm tương ứng nếu không điều chỉnh tỷ lệ thuê hàng năm.</w:t>
      </w:r>
    </w:p>
    <w:p w14:paraId="2BF6197E" w14:textId="7BBE0531" w:rsidR="00775EB6" w:rsidRPr="00371976" w:rsidRDefault="00371976" w:rsidP="00371976">
      <w:pPr>
        <w:ind w:left="2160" w:firstLine="720"/>
        <w:rPr>
          <w:b/>
          <w:bCs/>
          <w:lang w:val="vi-VN"/>
        </w:rPr>
      </w:pPr>
      <w:r w:rsidRPr="00371976">
        <w:rPr>
          <w:rFonts w:ascii="Times New Roman" w:eastAsia="Courier New" w:hAnsi="Times New Roman" w:cs="Times New Roman"/>
          <w:b/>
          <w:bCs/>
          <w:kern w:val="0"/>
          <w:sz w:val="28"/>
          <w:szCs w:val="28"/>
          <w:lang w:eastAsia="vi-VN"/>
          <w14:ligatures w14:val="none"/>
        </w:rPr>
        <w:t>SỞ NÔNG NGHIỆP VÀ MÔI TRƯỜNG</w:t>
      </w:r>
    </w:p>
    <w:sectPr w:rsidR="00775EB6" w:rsidRPr="00371976" w:rsidSect="00371976">
      <w:headerReference w:type="default" r:id="rId7"/>
      <w:headerReference w:type="first" r:id="rId8"/>
      <w:pgSz w:w="11907" w:h="16839" w:code="9"/>
      <w:pgMar w:top="1134" w:right="1418" w:bottom="1134" w:left="1985"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3350F" w14:textId="77777777" w:rsidR="00351BC8" w:rsidRDefault="00351BC8" w:rsidP="00371976">
      <w:pPr>
        <w:spacing w:after="0" w:line="240" w:lineRule="auto"/>
      </w:pPr>
      <w:r>
        <w:separator/>
      </w:r>
    </w:p>
  </w:endnote>
  <w:endnote w:type="continuationSeparator" w:id="0">
    <w:p w14:paraId="1CEC4475" w14:textId="77777777" w:rsidR="00351BC8" w:rsidRDefault="00351BC8" w:rsidP="00371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ACD12" w14:textId="77777777" w:rsidR="00351BC8" w:rsidRDefault="00351BC8" w:rsidP="00371976">
      <w:pPr>
        <w:spacing w:after="0" w:line="240" w:lineRule="auto"/>
      </w:pPr>
      <w:r>
        <w:separator/>
      </w:r>
    </w:p>
  </w:footnote>
  <w:footnote w:type="continuationSeparator" w:id="0">
    <w:p w14:paraId="0CC66F2A" w14:textId="77777777" w:rsidR="00351BC8" w:rsidRDefault="00351BC8" w:rsidP="003719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435619"/>
      <w:docPartObj>
        <w:docPartGallery w:val="Page Numbers (Top of Page)"/>
        <w:docPartUnique/>
      </w:docPartObj>
    </w:sdtPr>
    <w:sdtEndPr>
      <w:rPr>
        <w:rFonts w:ascii="Times New Roman" w:hAnsi="Times New Roman" w:cs="Times New Roman"/>
        <w:noProof/>
        <w:sz w:val="24"/>
        <w:szCs w:val="24"/>
      </w:rPr>
    </w:sdtEndPr>
    <w:sdtContent>
      <w:p w14:paraId="2E84F74A" w14:textId="1624CF4B" w:rsidR="00371976" w:rsidRPr="00371976" w:rsidRDefault="00371976">
        <w:pPr>
          <w:pStyle w:val="Header"/>
          <w:jc w:val="center"/>
          <w:rPr>
            <w:rFonts w:ascii="Times New Roman" w:hAnsi="Times New Roman" w:cs="Times New Roman"/>
            <w:sz w:val="24"/>
            <w:szCs w:val="24"/>
          </w:rPr>
        </w:pPr>
        <w:r w:rsidRPr="00371976">
          <w:rPr>
            <w:rFonts w:ascii="Times New Roman" w:hAnsi="Times New Roman" w:cs="Times New Roman"/>
            <w:sz w:val="24"/>
            <w:szCs w:val="24"/>
          </w:rPr>
          <w:fldChar w:fldCharType="begin"/>
        </w:r>
        <w:r w:rsidRPr="00371976">
          <w:rPr>
            <w:rFonts w:ascii="Times New Roman" w:hAnsi="Times New Roman" w:cs="Times New Roman"/>
            <w:sz w:val="24"/>
            <w:szCs w:val="24"/>
          </w:rPr>
          <w:instrText xml:space="preserve"> PAGE   \* MERGEFORMAT </w:instrText>
        </w:r>
        <w:r w:rsidRPr="00371976">
          <w:rPr>
            <w:rFonts w:ascii="Times New Roman" w:hAnsi="Times New Roman" w:cs="Times New Roman"/>
            <w:sz w:val="24"/>
            <w:szCs w:val="24"/>
          </w:rPr>
          <w:fldChar w:fldCharType="separate"/>
        </w:r>
        <w:r w:rsidRPr="00371976">
          <w:rPr>
            <w:rFonts w:ascii="Times New Roman" w:hAnsi="Times New Roman" w:cs="Times New Roman"/>
            <w:noProof/>
            <w:sz w:val="24"/>
            <w:szCs w:val="24"/>
          </w:rPr>
          <w:t>2</w:t>
        </w:r>
        <w:r w:rsidRPr="00371976">
          <w:rPr>
            <w:rFonts w:ascii="Times New Roman" w:hAnsi="Times New Roman" w:cs="Times New Roman"/>
            <w:noProof/>
            <w:sz w:val="24"/>
            <w:szCs w:val="24"/>
          </w:rPr>
          <w:fldChar w:fldCharType="end"/>
        </w:r>
      </w:p>
    </w:sdtContent>
  </w:sdt>
  <w:p w14:paraId="32229BE8" w14:textId="77777777" w:rsidR="00371976" w:rsidRDefault="003719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38AFD" w14:textId="142134E9" w:rsidR="00371976" w:rsidRDefault="00371976">
    <w:pPr>
      <w:pStyle w:val="Header"/>
      <w:jc w:val="center"/>
    </w:pPr>
  </w:p>
  <w:p w14:paraId="63EF3A11" w14:textId="77777777" w:rsidR="00371976" w:rsidRDefault="003719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F6A03"/>
    <w:multiLevelType w:val="hybridMultilevel"/>
    <w:tmpl w:val="8878F51E"/>
    <w:lvl w:ilvl="0" w:tplc="6DFE286E">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9FC5CDD"/>
    <w:multiLevelType w:val="hybridMultilevel"/>
    <w:tmpl w:val="402A0840"/>
    <w:lvl w:ilvl="0" w:tplc="050AD0EA">
      <w:start w:val="3"/>
      <w:numFmt w:val="decimal"/>
      <w:lvlText w:val="%1."/>
      <w:lvlJc w:val="left"/>
      <w:pPr>
        <w:ind w:left="681" w:hanging="360"/>
      </w:pPr>
      <w:rPr>
        <w:rFonts w:eastAsia="Courier New" w:hint="default"/>
        <w:color w:val="000000"/>
      </w:rPr>
    </w:lvl>
    <w:lvl w:ilvl="1" w:tplc="04090019" w:tentative="1">
      <w:start w:val="1"/>
      <w:numFmt w:val="lowerLetter"/>
      <w:lvlText w:val="%2."/>
      <w:lvlJc w:val="left"/>
      <w:pPr>
        <w:ind w:left="1401" w:hanging="360"/>
      </w:pPr>
    </w:lvl>
    <w:lvl w:ilvl="2" w:tplc="0409001B" w:tentative="1">
      <w:start w:val="1"/>
      <w:numFmt w:val="lowerRoman"/>
      <w:lvlText w:val="%3."/>
      <w:lvlJc w:val="right"/>
      <w:pPr>
        <w:ind w:left="2121" w:hanging="180"/>
      </w:pPr>
    </w:lvl>
    <w:lvl w:ilvl="3" w:tplc="0409000F" w:tentative="1">
      <w:start w:val="1"/>
      <w:numFmt w:val="decimal"/>
      <w:lvlText w:val="%4."/>
      <w:lvlJc w:val="left"/>
      <w:pPr>
        <w:ind w:left="2841" w:hanging="360"/>
      </w:pPr>
    </w:lvl>
    <w:lvl w:ilvl="4" w:tplc="04090019" w:tentative="1">
      <w:start w:val="1"/>
      <w:numFmt w:val="lowerLetter"/>
      <w:lvlText w:val="%5."/>
      <w:lvlJc w:val="left"/>
      <w:pPr>
        <w:ind w:left="3561" w:hanging="360"/>
      </w:pPr>
    </w:lvl>
    <w:lvl w:ilvl="5" w:tplc="0409001B" w:tentative="1">
      <w:start w:val="1"/>
      <w:numFmt w:val="lowerRoman"/>
      <w:lvlText w:val="%6."/>
      <w:lvlJc w:val="right"/>
      <w:pPr>
        <w:ind w:left="4281" w:hanging="180"/>
      </w:pPr>
    </w:lvl>
    <w:lvl w:ilvl="6" w:tplc="0409000F" w:tentative="1">
      <w:start w:val="1"/>
      <w:numFmt w:val="decimal"/>
      <w:lvlText w:val="%7."/>
      <w:lvlJc w:val="left"/>
      <w:pPr>
        <w:ind w:left="5001" w:hanging="360"/>
      </w:pPr>
    </w:lvl>
    <w:lvl w:ilvl="7" w:tplc="04090019" w:tentative="1">
      <w:start w:val="1"/>
      <w:numFmt w:val="lowerLetter"/>
      <w:lvlText w:val="%8."/>
      <w:lvlJc w:val="left"/>
      <w:pPr>
        <w:ind w:left="5721" w:hanging="360"/>
      </w:pPr>
    </w:lvl>
    <w:lvl w:ilvl="8" w:tplc="0409001B" w:tentative="1">
      <w:start w:val="1"/>
      <w:numFmt w:val="lowerRoman"/>
      <w:lvlText w:val="%9."/>
      <w:lvlJc w:val="right"/>
      <w:pPr>
        <w:ind w:left="6441" w:hanging="180"/>
      </w:pPr>
    </w:lvl>
  </w:abstractNum>
  <w:num w:numId="1" w16cid:durableId="460806276">
    <w:abstractNumId w:val="1"/>
  </w:num>
  <w:num w:numId="2" w16cid:durableId="1093279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976"/>
    <w:rsid w:val="000C090C"/>
    <w:rsid w:val="000C6F35"/>
    <w:rsid w:val="002243A4"/>
    <w:rsid w:val="002F7E82"/>
    <w:rsid w:val="00351BC8"/>
    <w:rsid w:val="00371976"/>
    <w:rsid w:val="004657B7"/>
    <w:rsid w:val="004E1316"/>
    <w:rsid w:val="00581A11"/>
    <w:rsid w:val="0068504F"/>
    <w:rsid w:val="00775EB6"/>
    <w:rsid w:val="00B775E0"/>
    <w:rsid w:val="00D24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04158"/>
  <w15:chartTrackingRefBased/>
  <w15:docId w15:val="{FB415E13-E60F-4570-97BF-0159CF0D0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19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1976"/>
  </w:style>
  <w:style w:type="paragraph" w:styleId="Footer">
    <w:name w:val="footer"/>
    <w:basedOn w:val="Normal"/>
    <w:link w:val="FooterChar"/>
    <w:uiPriority w:val="99"/>
    <w:unhideWhenUsed/>
    <w:rsid w:val="003719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1976"/>
  </w:style>
  <w:style w:type="paragraph" w:styleId="ListParagraph">
    <w:name w:val="List Paragraph"/>
    <w:basedOn w:val="Normal"/>
    <w:uiPriority w:val="34"/>
    <w:qFormat/>
    <w:rsid w:val="003719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3218</Words>
  <Characters>18344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Hữu Chức</dc:creator>
  <cp:keywords/>
  <dc:description/>
  <cp:lastModifiedBy>Trương Hữu Chức</cp:lastModifiedBy>
  <cp:revision>2</cp:revision>
  <dcterms:created xsi:type="dcterms:W3CDTF">2025-11-27T03:52:00Z</dcterms:created>
  <dcterms:modified xsi:type="dcterms:W3CDTF">2025-11-27T04:21:00Z</dcterms:modified>
</cp:coreProperties>
</file>